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B8DF">
      <w:pPr>
        <w:tabs>
          <w:tab w:val="left" w:pos="8364"/>
        </w:tabs>
        <w:spacing w:line="360" w:lineRule="auto"/>
        <w:ind w:left="-960" w:leftChars="-400" w:firstLine="600" w:firstLineChars="200"/>
        <w:jc w:val="left"/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Style w:val="12"/>
          <w:rFonts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3C81E486">
      <w:pPr>
        <w:spacing w:after="326" w:afterLines="100" w:line="760" w:lineRule="exact"/>
        <w:jc w:val="center"/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20</w:t>
      </w:r>
      <w:r>
        <w:rPr>
          <w:rStyle w:val="12"/>
          <w:rFonts w:hint="eastAsia"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25</w:t>
      </w: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年度全国机动车拍卖专项统计表</w:t>
      </w:r>
    </w:p>
    <w:tbl>
      <w:tblPr>
        <w:tblStyle w:val="7"/>
        <w:tblW w:w="14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67"/>
        <w:gridCol w:w="616"/>
        <w:gridCol w:w="905"/>
        <w:gridCol w:w="2448"/>
        <w:gridCol w:w="2020"/>
        <w:gridCol w:w="2085"/>
        <w:gridCol w:w="2194"/>
        <w:gridCol w:w="2907"/>
      </w:tblGrid>
      <w:tr w14:paraId="37635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4DA07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【填表说明】</w:t>
            </w:r>
          </w:p>
        </w:tc>
      </w:tr>
      <w:tr w14:paraId="58200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EC9BAAE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1．本统计对象为年度内开展有机动车拍卖专场的企业，以独立法人为统计单位主体,子公司及关联公司均应分别填报。</w:t>
            </w:r>
          </w:p>
        </w:tc>
      </w:tr>
      <w:tr w14:paraId="113FF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FCAE12B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2．统计内容为年度内所发生的机动车拍卖经营数据，数据信息填写务必详实，所涉经营信息均以实际成交为准。</w:t>
            </w:r>
          </w:p>
        </w:tc>
      </w:tr>
      <w:tr w14:paraId="5FAD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B271C5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3．企业“注册资本”为年度期末数。</w:t>
            </w:r>
          </w:p>
        </w:tc>
      </w:tr>
      <w:tr w14:paraId="5646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261B59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4．“员工人数”为年度期末数，以签订劳动合同为准。</w:t>
            </w:r>
          </w:p>
        </w:tc>
      </w:tr>
      <w:tr w14:paraId="6BB94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14FCAC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5．“成交额”是指拍卖师以落槌或网络系统确认等方式确认的竞买人的最高应价 (不含佣金)。</w:t>
            </w:r>
          </w:p>
        </w:tc>
      </w:tr>
      <w:tr w14:paraId="51CE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F4EA7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6．企业纳税数据，均按所属期实缴数填写。</w:t>
            </w:r>
          </w:p>
        </w:tc>
      </w:tr>
      <w:tr w14:paraId="033E2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83FD3F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7. 拍卖地域按拍卖活动所在地划分（网络拍卖的按拍卖标的存放地划分）。</w:t>
            </w:r>
          </w:p>
        </w:tc>
      </w:tr>
      <w:tr w14:paraId="199BC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64045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8．联合拍卖的，如能以拍卖标的区分的以拍卖标的区分各自业务量，不能的以收益分成区分。</w:t>
            </w:r>
          </w:p>
        </w:tc>
      </w:tr>
      <w:tr w14:paraId="7CE1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B167B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9．本统计表中，涉及金额的均以“万元”为单位。</w:t>
            </w:r>
          </w:p>
        </w:tc>
      </w:tr>
      <w:tr w14:paraId="1A649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77CAAF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10．填报项目中如有相关情况需要说明的，请在“备注栏”中注明。</w:t>
            </w:r>
          </w:p>
        </w:tc>
      </w:tr>
      <w:tr w14:paraId="5AC59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77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8578D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基本经营信息</w:t>
            </w:r>
          </w:p>
        </w:tc>
      </w:tr>
      <w:tr w14:paraId="6D613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9F8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C55CC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    ]。</w:t>
            </w:r>
          </w:p>
        </w:tc>
      </w:tr>
      <w:tr w14:paraId="0B6A1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07B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876A99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    ]。</w:t>
            </w:r>
          </w:p>
        </w:tc>
      </w:tr>
      <w:tr w14:paraId="2C07E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9C0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B0C67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]万元。</w:t>
            </w:r>
          </w:p>
        </w:tc>
      </w:tr>
      <w:tr w14:paraId="1319F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D38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AFDE1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]人，其中从事机动车拍卖业务相关员工人数：[    ]人</w:t>
            </w:r>
          </w:p>
          <w:p w14:paraId="539D7BE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（专一从事机动车拍卖的企业前述员工人数应一致,综合性企业只需将从事其他拍卖业务的人员减去即可）。</w:t>
            </w:r>
          </w:p>
        </w:tc>
      </w:tr>
      <w:tr w14:paraId="51439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0F9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拍卖会次数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E40011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    ]场，其中：纯现场拍卖[          ]场，纯网络拍卖[         ]场，同步拍卖[         ]场。</w:t>
            </w:r>
          </w:p>
        </w:tc>
      </w:tr>
      <w:tr w14:paraId="118C5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3DB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登记转移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261C0D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本地过户[             ]台；  省内转籍[         ]台 ；  跨省转籍[         ]台， 总计[         ]台。</w:t>
            </w:r>
          </w:p>
        </w:tc>
      </w:tr>
      <w:tr w14:paraId="2F9F7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8DE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成交总况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5D374C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委托数量[          ]台次（辆）；  成交数量[             ]台次（辆）；  成交率[              ]（%）；  </w:t>
            </w:r>
          </w:p>
          <w:p w14:paraId="3BAFC226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成交总额[                ]万元；  佣金收入[                   ]万元；  佣金比例[            ]（%） 。</w:t>
            </w:r>
          </w:p>
          <w:p w14:paraId="05FADA0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成交总额10亿元（含）以上的，请提供相关证明材料，如货款结算证明、财务审计报告或其他可证明材料【上传】</w:t>
            </w:r>
          </w:p>
        </w:tc>
      </w:tr>
      <w:tr w14:paraId="3BD5B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9A8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业务占比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139FE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机动车拍卖业务占本公司整体拍卖业务的比例（按佣金收入）：</w:t>
            </w:r>
          </w:p>
          <w:p w14:paraId="717B0C9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30%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以下◎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30%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>（含）-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60%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60%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>（含）-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90%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90%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kern w:val="0"/>
              </w:rPr>
              <w:t>以上</w:t>
            </w:r>
          </w:p>
        </w:tc>
      </w:tr>
      <w:tr w14:paraId="2D7A2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C0BAE9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企业年度效益</w:t>
            </w: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>（须将非机动车拍卖业务剔除）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E5BB90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主营业务收入[             ]万元；企业运营费用（销售及管理费用）[             ]万元；</w:t>
            </w:r>
          </w:p>
          <w:p w14:paraId="5843022C">
            <w:pPr>
              <w:ind w:firstLine="120" w:firstLine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主营业务利润[             ]万元。</w:t>
            </w:r>
          </w:p>
        </w:tc>
      </w:tr>
      <w:tr w14:paraId="3F8F7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645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企业增值税</w:t>
            </w:r>
          </w:p>
        </w:tc>
        <w:tc>
          <w:tcPr>
            <w:tcW w:w="13175" w:type="dxa"/>
            <w:gridSpan w:val="7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1DF5BB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]万元，其中机动车拍卖业务创税额为[         ]万元（专一从事机动车拍卖的企业前述税金应一致）。</w:t>
            </w:r>
          </w:p>
          <w:p w14:paraId="7AD8BD6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机动车拍卖业务创税50万元（含）以上，提供纳税凭证  【上传】</w:t>
            </w:r>
          </w:p>
        </w:tc>
      </w:tr>
      <w:tr w14:paraId="0AE4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38F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295EC6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         ]万元。</w:t>
            </w:r>
          </w:p>
          <w:p w14:paraId="2B84C515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企业所得税10万元（含）以上，提供纳税凭证  【上传】</w:t>
            </w:r>
          </w:p>
        </w:tc>
      </w:tr>
      <w:tr w14:paraId="36561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608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企业创税总额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38332A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 [                  ]万元（是指企业增值税、企业所得税及其他税负的总和）。</w:t>
            </w:r>
          </w:p>
        </w:tc>
      </w:tr>
      <w:tr w14:paraId="74A77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4D9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公益性贡献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C2B37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慈善捐赠</w:t>
            </w:r>
          </w:p>
        </w:tc>
        <w:tc>
          <w:tcPr>
            <w:tcW w:w="1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3CAD79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计 [           ]万元（是指企业现金捐赠或捐物折合金额，以捐赠发票或其他有效证明为准）。</w:t>
            </w:r>
          </w:p>
          <w:p w14:paraId="27B858E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慈善捐赠5万元（含）以上，提供相关证明  【上传】</w:t>
            </w:r>
          </w:p>
        </w:tc>
      </w:tr>
      <w:tr w14:paraId="62DFD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B2A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CEF15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公益拍卖活动</w:t>
            </w:r>
          </w:p>
        </w:tc>
        <w:tc>
          <w:tcPr>
            <w:tcW w:w="1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9A3026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计 [           ]场，属于各有关方捐献的成交总额为 [           ]万元（不含佣金）。</w:t>
            </w:r>
          </w:p>
        </w:tc>
      </w:tr>
      <w:tr w14:paraId="7737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DD7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0B3152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企业授权填报人：[                ]； 填报人移动电话：[                      ]； </w:t>
            </w:r>
          </w:p>
          <w:p w14:paraId="3B5DB565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企业联系电话：[                ]； 企业营业地址：[                      ]。</w:t>
            </w:r>
          </w:p>
        </w:tc>
      </w:tr>
      <w:tr w14:paraId="70289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 w14:paraId="0788C89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6CD293">
            <w:pPr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89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6ABC89">
            <w:pPr>
              <w:jc w:val="center"/>
              <w:textAlignment w:val="top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细分经营信息</w:t>
            </w:r>
          </w:p>
        </w:tc>
      </w:tr>
      <w:tr w14:paraId="72F8B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7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F55B">
            <w:pPr>
              <w:snapToGrid w:val="0"/>
              <w:ind w:right="480" w:rightChars="200"/>
              <w:jc w:val="righ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-635</wp:posOffset>
                      </wp:positionV>
                      <wp:extent cx="3538855" cy="528320"/>
                      <wp:effectExtent l="635" t="4445" r="3810" b="19685"/>
                      <wp:wrapNone/>
                      <wp:docPr id="3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855" cy="52832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left:-0.35pt;margin-top:-0.05pt;height:41.6pt;width:278.65pt;z-index:251659264;mso-width-relative:page;mso-height-relative:page;" filled="f" stroked="t" coordsize="21600,21600" o:gfxdata="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7w5mtUAAAAGAQAADwAAAAAAAAABACAAAAAiAAAAZHJzL2Rvd25yZXYu&#10;eG1sUEsBAhQAFAAAAAgAh07iQDsASIn+AQAA9gMAAA4AAAAAAAAAAQAgAAAAJAEAAGRycy9lMm9E&#10;b2MueG1sUEsFBgAAAAAGAAYAWQEAAJQ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  <w:p w14:paraId="549D2589">
            <w:pPr>
              <w:snapToGrid w:val="0"/>
              <w:ind w:firstLine="723" w:firstLineChars="300"/>
              <w:jc w:val="lef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700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委托台次（辆）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157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成交台次（辆）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87E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成交率（%）</w:t>
            </w:r>
          </w:p>
        </w:tc>
        <w:tc>
          <w:tcPr>
            <w:tcW w:w="2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7EDA6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成交额（万元，不含佣金）</w:t>
            </w:r>
          </w:p>
        </w:tc>
      </w:tr>
      <w:tr w14:paraId="056E3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57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DBD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A7A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57C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EA8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406E1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A5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830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F24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拍卖形式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6DF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纯现场拍卖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854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2CF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B0A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D24DC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B0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B45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DA17">
            <w:pPr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F5C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纯网络拍卖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947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D64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B5B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15738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50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28B37D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8BD617">
            <w:pPr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626377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同步拍卖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5CE639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55A18B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A0EC3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1580E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FA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233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BF4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政府部门委托</w:t>
            </w:r>
          </w:p>
        </w:tc>
        <w:tc>
          <w:tcPr>
            <w:tcW w:w="20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E8A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2A2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304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7BC2BE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77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FD6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935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企事业单位委托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65A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034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04A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225BE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F2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FAE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720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法院委托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B94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88D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8E5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0F71A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2F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E2F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313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机构委托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78F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保险公司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927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31C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1B38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0569E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6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21E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625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B03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租赁公司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E0B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CF4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97B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A5BD7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B1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6D8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5C6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692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融资租赁公司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B1B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2B0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70E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7654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F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4B7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56B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421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汽车经销商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2AC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DB9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039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A857D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8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DEA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DC5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094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二手车经销商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E0F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F3A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29A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B25E8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CA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C60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506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ACC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其他机构</w:t>
            </w:r>
          </w:p>
          <w:p w14:paraId="793E31B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（请备注“委托方”类型）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87C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992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1D6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7DB60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F9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9C1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087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个人委托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C2D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62B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C2D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BE0C5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F5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C17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37F35">
            <w:pPr>
              <w:ind w:firstLine="241" w:firstLineChars="100"/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乘用车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906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基本型乘用车（轿车）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79D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FB2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9E3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0A36A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30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61E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4A5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89C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多功能乘用车（MPV）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F33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C98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440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77B61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12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CF0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880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24C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运动型多用途乘用车（SUV）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7E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480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88A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B7316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71B47"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EFAAF6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139DF0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EAACC7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交叉型乘用车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66819F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51504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52D0DD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E0CD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AC366"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9D0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D3E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商用车</w:t>
            </w:r>
          </w:p>
        </w:tc>
        <w:tc>
          <w:tcPr>
            <w:tcW w:w="33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232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客车</w:t>
            </w:r>
          </w:p>
        </w:tc>
        <w:tc>
          <w:tcPr>
            <w:tcW w:w="20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C05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0E3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1FC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6C46D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99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809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C45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A12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货车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FB4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DB9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A9E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AA0A0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21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465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A41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其他车型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5F7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7C3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63A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825974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B3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6F1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0C4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车辆状态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407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整车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9B3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19C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E05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C86A1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C4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E43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943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2D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残值车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9DF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6DC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15C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D52DB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6E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E03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286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  <w:p w14:paraId="25EECD0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4F80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非营运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E05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8B2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B0F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A5083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F7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DB5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FEB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6FAFE1">
            <w:pPr>
              <w:jc w:val="center"/>
              <w:textAlignment w:val="top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租赁（含租赁转非营运）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551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8C9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3E0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EACC2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133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D7A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08725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出租客运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774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2FC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463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26239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2B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90A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36A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AE4BD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3FC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5E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AD7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5697A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06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256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562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车龄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A13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3年以内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52B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FFD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C4D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238B04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04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450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5D6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1E5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3年（含） -6年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6C0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2DD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FB0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B537F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52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787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9C3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5BB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6年（含）-10年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BAF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A27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B41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F68F93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B2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EA5A9B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22E691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EFD285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10年（含）以上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4FB2C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886BB0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48AEE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9558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F3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E74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0CC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拍卖地域</w:t>
            </w:r>
          </w:p>
          <w:p w14:paraId="47A8499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（按拍卖活动所在地划分，网络拍卖按车辆拍卖时存放地划分）</w:t>
            </w:r>
          </w:p>
        </w:tc>
        <w:tc>
          <w:tcPr>
            <w:tcW w:w="33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C4A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7D9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DE7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003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26716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A9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4BA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390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B32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E6B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639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900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681DD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60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43D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330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E72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C6E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10E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7D7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F5223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7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D08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31F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CB6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099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94C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7E5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30554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F5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9E9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244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5C8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00F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23F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ACF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C4FFC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7D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620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745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7E8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AE8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CD5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CAD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172F0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6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FAB1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C6D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695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49D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86A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1D2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875C6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43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2B6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AA7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车辆价格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2BD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5万以下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F63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C5E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265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A767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3A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552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BCB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96A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5万（含）-10万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284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E72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F8B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ADAA9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C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E02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6C4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9794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10万（含）-20万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6FE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BC5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D1D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27810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7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11D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EC0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73D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20万（含）-50万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314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BDE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FF6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FCABF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6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EE9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B90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90B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50万（含）以上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26F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1C2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AA2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05187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1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0B2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663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能源类型</w:t>
            </w:r>
          </w:p>
          <w:p w14:paraId="4270EB7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C2BDEF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燃油车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9E9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00F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E41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10A27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95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052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2A4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F7632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纯电动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C68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58E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9A9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68D8D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E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151B3F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58DFCE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vAlign w:val="center"/>
          </w:tcPr>
          <w:p w14:paraId="4656499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插电式混合动力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5587FA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AD8516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06358E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BE89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930585">
      <w:pPr>
        <w:widowControl w:val="0"/>
        <w:spacing w:line="360" w:lineRule="auto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楷体_GB2312" w:hAnsi="Times New Roman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以上统计内容以填报系统为准。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113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892C9">
    <w:pPr>
      <w:pStyle w:val="4"/>
      <w:jc w:val="center"/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2F15B">
    <w:pPr>
      <w:pStyle w:val="4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10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mRiNWM3YmM3NGU3ODQxM2U3ZmE5ZTM0ZWU3MjAifQ=="/>
  </w:docVars>
  <w:rsids>
    <w:rsidRoot w:val="007C5285"/>
    <w:rsid w:val="000031F0"/>
    <w:rsid w:val="00006114"/>
    <w:rsid w:val="00016BFF"/>
    <w:rsid w:val="000616D5"/>
    <w:rsid w:val="000671B4"/>
    <w:rsid w:val="00084872"/>
    <w:rsid w:val="000870C9"/>
    <w:rsid w:val="00093FB7"/>
    <w:rsid w:val="000A3BFE"/>
    <w:rsid w:val="000A4F65"/>
    <w:rsid w:val="000C5317"/>
    <w:rsid w:val="000D5CDE"/>
    <w:rsid w:val="000D7226"/>
    <w:rsid w:val="000F30C2"/>
    <w:rsid w:val="00117DF2"/>
    <w:rsid w:val="00122A01"/>
    <w:rsid w:val="00122F5F"/>
    <w:rsid w:val="00127E36"/>
    <w:rsid w:val="00136D55"/>
    <w:rsid w:val="00137E9F"/>
    <w:rsid w:val="00137F30"/>
    <w:rsid w:val="00150164"/>
    <w:rsid w:val="00162F57"/>
    <w:rsid w:val="00165A32"/>
    <w:rsid w:val="00167B5E"/>
    <w:rsid w:val="00167F28"/>
    <w:rsid w:val="00172622"/>
    <w:rsid w:val="0019351C"/>
    <w:rsid w:val="001A44AF"/>
    <w:rsid w:val="001A6E35"/>
    <w:rsid w:val="001B52A8"/>
    <w:rsid w:val="001C3356"/>
    <w:rsid w:val="001D6FC8"/>
    <w:rsid w:val="001E3F62"/>
    <w:rsid w:val="001E5D06"/>
    <w:rsid w:val="001F0C0F"/>
    <w:rsid w:val="001F107C"/>
    <w:rsid w:val="001F76E1"/>
    <w:rsid w:val="0020232B"/>
    <w:rsid w:val="00205331"/>
    <w:rsid w:val="00213A3F"/>
    <w:rsid w:val="0023266D"/>
    <w:rsid w:val="002605F7"/>
    <w:rsid w:val="00283433"/>
    <w:rsid w:val="00284397"/>
    <w:rsid w:val="002A1E94"/>
    <w:rsid w:val="002A5EEF"/>
    <w:rsid w:val="002D3CB7"/>
    <w:rsid w:val="002E24A3"/>
    <w:rsid w:val="003025C4"/>
    <w:rsid w:val="0031236B"/>
    <w:rsid w:val="003123F4"/>
    <w:rsid w:val="00325BE1"/>
    <w:rsid w:val="0032741F"/>
    <w:rsid w:val="0033019B"/>
    <w:rsid w:val="003429FD"/>
    <w:rsid w:val="00344A86"/>
    <w:rsid w:val="00350A9E"/>
    <w:rsid w:val="003528D9"/>
    <w:rsid w:val="00353BC5"/>
    <w:rsid w:val="00353CA7"/>
    <w:rsid w:val="00361432"/>
    <w:rsid w:val="00362BB3"/>
    <w:rsid w:val="003671E5"/>
    <w:rsid w:val="00367B98"/>
    <w:rsid w:val="003715F8"/>
    <w:rsid w:val="003808A1"/>
    <w:rsid w:val="00381008"/>
    <w:rsid w:val="00383415"/>
    <w:rsid w:val="0038544A"/>
    <w:rsid w:val="00391862"/>
    <w:rsid w:val="00393159"/>
    <w:rsid w:val="003A0181"/>
    <w:rsid w:val="003A0F9A"/>
    <w:rsid w:val="003B01E1"/>
    <w:rsid w:val="003B03D8"/>
    <w:rsid w:val="003E57FC"/>
    <w:rsid w:val="003E6503"/>
    <w:rsid w:val="003E6B7D"/>
    <w:rsid w:val="00406420"/>
    <w:rsid w:val="00413FE3"/>
    <w:rsid w:val="00427ECE"/>
    <w:rsid w:val="00435FA7"/>
    <w:rsid w:val="004520F7"/>
    <w:rsid w:val="00453840"/>
    <w:rsid w:val="00463BFC"/>
    <w:rsid w:val="0047119B"/>
    <w:rsid w:val="004756B5"/>
    <w:rsid w:val="00480B8E"/>
    <w:rsid w:val="00484C6B"/>
    <w:rsid w:val="004962AB"/>
    <w:rsid w:val="004968F0"/>
    <w:rsid w:val="004A37D8"/>
    <w:rsid w:val="004A7852"/>
    <w:rsid w:val="004B067B"/>
    <w:rsid w:val="004B468B"/>
    <w:rsid w:val="004B4C1A"/>
    <w:rsid w:val="004B63A3"/>
    <w:rsid w:val="004D5FA2"/>
    <w:rsid w:val="004E1E75"/>
    <w:rsid w:val="004E41FA"/>
    <w:rsid w:val="004E7465"/>
    <w:rsid w:val="004F252F"/>
    <w:rsid w:val="004F3C19"/>
    <w:rsid w:val="004F62F2"/>
    <w:rsid w:val="00520FA9"/>
    <w:rsid w:val="00523878"/>
    <w:rsid w:val="00527501"/>
    <w:rsid w:val="00534675"/>
    <w:rsid w:val="00535CC2"/>
    <w:rsid w:val="00537790"/>
    <w:rsid w:val="00540B92"/>
    <w:rsid w:val="00560DB4"/>
    <w:rsid w:val="005845E6"/>
    <w:rsid w:val="005A63BD"/>
    <w:rsid w:val="005C2277"/>
    <w:rsid w:val="005D502E"/>
    <w:rsid w:val="005D6533"/>
    <w:rsid w:val="005E0414"/>
    <w:rsid w:val="005E4286"/>
    <w:rsid w:val="005E531E"/>
    <w:rsid w:val="005F2E28"/>
    <w:rsid w:val="005F5B6B"/>
    <w:rsid w:val="00643335"/>
    <w:rsid w:val="00671E5F"/>
    <w:rsid w:val="00680617"/>
    <w:rsid w:val="00680C47"/>
    <w:rsid w:val="00690F8D"/>
    <w:rsid w:val="006C3AA4"/>
    <w:rsid w:val="006D2409"/>
    <w:rsid w:val="006E0AFD"/>
    <w:rsid w:val="006F3AA7"/>
    <w:rsid w:val="006F4869"/>
    <w:rsid w:val="006F4AF6"/>
    <w:rsid w:val="00705F16"/>
    <w:rsid w:val="00706EF1"/>
    <w:rsid w:val="00714B1E"/>
    <w:rsid w:val="00725A3A"/>
    <w:rsid w:val="007503E0"/>
    <w:rsid w:val="00750469"/>
    <w:rsid w:val="00790C81"/>
    <w:rsid w:val="00792973"/>
    <w:rsid w:val="007A300A"/>
    <w:rsid w:val="007C4212"/>
    <w:rsid w:val="007C5285"/>
    <w:rsid w:val="007D7086"/>
    <w:rsid w:val="007E1749"/>
    <w:rsid w:val="007E1F92"/>
    <w:rsid w:val="007F2741"/>
    <w:rsid w:val="00801866"/>
    <w:rsid w:val="008138A7"/>
    <w:rsid w:val="008231B4"/>
    <w:rsid w:val="008304EC"/>
    <w:rsid w:val="00836E6E"/>
    <w:rsid w:val="00841B54"/>
    <w:rsid w:val="00843972"/>
    <w:rsid w:val="00846763"/>
    <w:rsid w:val="0085667D"/>
    <w:rsid w:val="00872AD4"/>
    <w:rsid w:val="00886E68"/>
    <w:rsid w:val="008976ED"/>
    <w:rsid w:val="008A04AE"/>
    <w:rsid w:val="008A245B"/>
    <w:rsid w:val="008A35CB"/>
    <w:rsid w:val="008A705A"/>
    <w:rsid w:val="008B4F75"/>
    <w:rsid w:val="008C3055"/>
    <w:rsid w:val="008C357C"/>
    <w:rsid w:val="008D1423"/>
    <w:rsid w:val="008D5D52"/>
    <w:rsid w:val="008E17E3"/>
    <w:rsid w:val="008F52BD"/>
    <w:rsid w:val="009003F0"/>
    <w:rsid w:val="00905582"/>
    <w:rsid w:val="0092364C"/>
    <w:rsid w:val="009266AD"/>
    <w:rsid w:val="00932BE2"/>
    <w:rsid w:val="00965DF0"/>
    <w:rsid w:val="00971422"/>
    <w:rsid w:val="00986625"/>
    <w:rsid w:val="00986A40"/>
    <w:rsid w:val="009A1818"/>
    <w:rsid w:val="009A388B"/>
    <w:rsid w:val="009C1A0C"/>
    <w:rsid w:val="009E38C3"/>
    <w:rsid w:val="00A00A32"/>
    <w:rsid w:val="00A017FA"/>
    <w:rsid w:val="00A1345F"/>
    <w:rsid w:val="00A3655A"/>
    <w:rsid w:val="00A431C1"/>
    <w:rsid w:val="00A51F1D"/>
    <w:rsid w:val="00A52CFF"/>
    <w:rsid w:val="00A822AE"/>
    <w:rsid w:val="00A87C3D"/>
    <w:rsid w:val="00AA5080"/>
    <w:rsid w:val="00AB75F5"/>
    <w:rsid w:val="00AC1D62"/>
    <w:rsid w:val="00AC4BC6"/>
    <w:rsid w:val="00AC7C7B"/>
    <w:rsid w:val="00AD0810"/>
    <w:rsid w:val="00AD539E"/>
    <w:rsid w:val="00AE0B4D"/>
    <w:rsid w:val="00AE5DC5"/>
    <w:rsid w:val="00B028C9"/>
    <w:rsid w:val="00B07331"/>
    <w:rsid w:val="00B26470"/>
    <w:rsid w:val="00B34C02"/>
    <w:rsid w:val="00B44B18"/>
    <w:rsid w:val="00B46BA6"/>
    <w:rsid w:val="00B56C2B"/>
    <w:rsid w:val="00B714AB"/>
    <w:rsid w:val="00B72BED"/>
    <w:rsid w:val="00B7397B"/>
    <w:rsid w:val="00B92516"/>
    <w:rsid w:val="00B92D6A"/>
    <w:rsid w:val="00BA4908"/>
    <w:rsid w:val="00BB1474"/>
    <w:rsid w:val="00BB5051"/>
    <w:rsid w:val="00BC63C7"/>
    <w:rsid w:val="00BD7229"/>
    <w:rsid w:val="00BF0FDD"/>
    <w:rsid w:val="00C12F97"/>
    <w:rsid w:val="00C25D4B"/>
    <w:rsid w:val="00C46320"/>
    <w:rsid w:val="00C52A18"/>
    <w:rsid w:val="00C55ACB"/>
    <w:rsid w:val="00C5792E"/>
    <w:rsid w:val="00C6020E"/>
    <w:rsid w:val="00C60278"/>
    <w:rsid w:val="00C626E9"/>
    <w:rsid w:val="00C813E8"/>
    <w:rsid w:val="00C82DB2"/>
    <w:rsid w:val="00C86231"/>
    <w:rsid w:val="00C907BD"/>
    <w:rsid w:val="00CC3823"/>
    <w:rsid w:val="00CC5C79"/>
    <w:rsid w:val="00CD1CB1"/>
    <w:rsid w:val="00CE0F36"/>
    <w:rsid w:val="00CE66DE"/>
    <w:rsid w:val="00CF4D32"/>
    <w:rsid w:val="00CF594B"/>
    <w:rsid w:val="00CF5DDD"/>
    <w:rsid w:val="00CF7BB3"/>
    <w:rsid w:val="00D10CD1"/>
    <w:rsid w:val="00D41B90"/>
    <w:rsid w:val="00D50D6A"/>
    <w:rsid w:val="00D51AE6"/>
    <w:rsid w:val="00D55F9A"/>
    <w:rsid w:val="00D5644F"/>
    <w:rsid w:val="00D60ED5"/>
    <w:rsid w:val="00D6562C"/>
    <w:rsid w:val="00D66A82"/>
    <w:rsid w:val="00D73874"/>
    <w:rsid w:val="00D81DF7"/>
    <w:rsid w:val="00D84375"/>
    <w:rsid w:val="00D91E08"/>
    <w:rsid w:val="00D932CE"/>
    <w:rsid w:val="00D933E0"/>
    <w:rsid w:val="00D96CDE"/>
    <w:rsid w:val="00DA0BF9"/>
    <w:rsid w:val="00DA4E84"/>
    <w:rsid w:val="00DA6874"/>
    <w:rsid w:val="00DB47BD"/>
    <w:rsid w:val="00DC1D4E"/>
    <w:rsid w:val="00DE1631"/>
    <w:rsid w:val="00DE53F6"/>
    <w:rsid w:val="00DE6274"/>
    <w:rsid w:val="00DE62FC"/>
    <w:rsid w:val="00DF7E7E"/>
    <w:rsid w:val="00E06DFD"/>
    <w:rsid w:val="00E17463"/>
    <w:rsid w:val="00E220CF"/>
    <w:rsid w:val="00E2253B"/>
    <w:rsid w:val="00E439D9"/>
    <w:rsid w:val="00E47728"/>
    <w:rsid w:val="00E52324"/>
    <w:rsid w:val="00E54D31"/>
    <w:rsid w:val="00E63643"/>
    <w:rsid w:val="00E80B21"/>
    <w:rsid w:val="00E81CCD"/>
    <w:rsid w:val="00E94CE2"/>
    <w:rsid w:val="00E95109"/>
    <w:rsid w:val="00EA4BF2"/>
    <w:rsid w:val="00EB1EFE"/>
    <w:rsid w:val="00EB70D0"/>
    <w:rsid w:val="00EC6227"/>
    <w:rsid w:val="00ED3271"/>
    <w:rsid w:val="00ED598E"/>
    <w:rsid w:val="00EF23B0"/>
    <w:rsid w:val="00F02391"/>
    <w:rsid w:val="00F0258F"/>
    <w:rsid w:val="00F03B33"/>
    <w:rsid w:val="00F145AD"/>
    <w:rsid w:val="00F41968"/>
    <w:rsid w:val="00F42B01"/>
    <w:rsid w:val="00F42D6E"/>
    <w:rsid w:val="00F55611"/>
    <w:rsid w:val="00F57129"/>
    <w:rsid w:val="00F6079A"/>
    <w:rsid w:val="00F656A8"/>
    <w:rsid w:val="00F70F56"/>
    <w:rsid w:val="00F90EDB"/>
    <w:rsid w:val="00F957C6"/>
    <w:rsid w:val="00FA405B"/>
    <w:rsid w:val="00FA6210"/>
    <w:rsid w:val="00FB1B75"/>
    <w:rsid w:val="00FB5D35"/>
    <w:rsid w:val="00FB72C7"/>
    <w:rsid w:val="00FC3F73"/>
    <w:rsid w:val="00FC587E"/>
    <w:rsid w:val="00FD76AD"/>
    <w:rsid w:val="00FE322D"/>
    <w:rsid w:val="00FE5991"/>
    <w:rsid w:val="00FF78E2"/>
    <w:rsid w:val="10D33011"/>
    <w:rsid w:val="1FBFF60E"/>
    <w:rsid w:val="2317446C"/>
    <w:rsid w:val="3087414F"/>
    <w:rsid w:val="33C1407B"/>
    <w:rsid w:val="33C60AC9"/>
    <w:rsid w:val="34411FA9"/>
    <w:rsid w:val="39B12CEE"/>
    <w:rsid w:val="42004FD7"/>
    <w:rsid w:val="46505750"/>
    <w:rsid w:val="4D7F665B"/>
    <w:rsid w:val="4E01769C"/>
    <w:rsid w:val="567D4C50"/>
    <w:rsid w:val="640D44F3"/>
    <w:rsid w:val="64A93F32"/>
    <w:rsid w:val="6AC57FFD"/>
    <w:rsid w:val="76BB186A"/>
    <w:rsid w:val="76D72E8C"/>
    <w:rsid w:val="783144D0"/>
    <w:rsid w:val="EB9FD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semiHidden/>
    <w:qFormat/>
    <w:uiPriority w:val="0"/>
    <w:pPr>
      <w:ind w:left="100" w:leftChars="2500"/>
    </w:pPr>
  </w:style>
  <w:style w:type="paragraph" w:styleId="3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autoRedefine/>
    <w:qFormat/>
    <w:uiPriority w:val="0"/>
    <w:pPr>
      <w:spacing w:before="240" w:after="60"/>
      <w:jc w:val="center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1">
    <w:name w:val="Emphasis"/>
    <w:basedOn w:val="12"/>
    <w:autoRedefine/>
    <w:qFormat/>
    <w:uiPriority w:val="0"/>
    <w:rPr>
      <w:i/>
      <w:iCs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Hyperlink"/>
    <w:basedOn w:val="12"/>
    <w:autoRedefine/>
    <w:qFormat/>
    <w:uiPriority w:val="99"/>
    <w:rPr>
      <w:color w:val="0000FF"/>
      <w:u w:val="single"/>
    </w:rPr>
  </w:style>
  <w:style w:type="table" w:customStyle="1" w:styleId="14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12"/>
    <w:autoRedefine/>
    <w:semiHidden/>
    <w:qFormat/>
    <w:uiPriority w:val="0"/>
  </w:style>
  <w:style w:type="character" w:customStyle="1" w:styleId="16">
    <w:name w:val="页眉 Char"/>
    <w:basedOn w:val="12"/>
    <w:link w:val="5"/>
    <w:autoRedefine/>
    <w:semiHidden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7">
    <w:name w:val="页脚 Char"/>
    <w:basedOn w:val="12"/>
    <w:link w:val="4"/>
    <w:autoRedefine/>
    <w:qFormat/>
    <w:uiPriority w:val="99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8">
    <w:name w:val="标题 Char"/>
    <w:basedOn w:val="12"/>
    <w:link w:val="6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">
    <w:name w:val="日期 Char"/>
    <w:basedOn w:val="12"/>
    <w:link w:val="2"/>
    <w:autoRedefine/>
    <w:semiHidden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table" w:customStyle="1" w:styleId="20">
    <w:name w:val="TableGrid"/>
    <w:basedOn w:val="14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serStyle_4"/>
    <w:basedOn w:val="12"/>
    <w:autoRedefine/>
    <w:qFormat/>
    <w:uiPriority w:val="0"/>
  </w:style>
  <w:style w:type="character" w:customStyle="1" w:styleId="22">
    <w:name w:val="UserStyle_5"/>
    <w:basedOn w:val="12"/>
    <w:autoRedefine/>
    <w:qFormat/>
    <w:uiPriority w:val="0"/>
    <w:rPr>
      <w:color w:val="45412E"/>
      <w:sz w:val="18"/>
      <w:szCs w:val="18"/>
    </w:rPr>
  </w:style>
  <w:style w:type="character" w:customStyle="1" w:styleId="23">
    <w:name w:val="UserStyle_6"/>
    <w:basedOn w:val="12"/>
    <w:autoRedefine/>
    <w:qFormat/>
    <w:uiPriority w:val="0"/>
  </w:style>
  <w:style w:type="paragraph" w:customStyle="1" w:styleId="24">
    <w:name w:val="UserStyle_7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179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customStyle="1" w:styleId="26">
    <w:name w:val="UserStyle_8"/>
    <w:autoRedefine/>
    <w:qFormat/>
    <w:uiPriority w:val="0"/>
    <w:pPr>
      <w:jc w:val="both"/>
      <w:textAlignment w:val="baseline"/>
    </w:pPr>
    <w:rPr>
      <w:rFonts w:ascii="Calibri" w:hAnsi="Calibri" w:eastAsia="Calibri" w:cstheme="minorBidi"/>
      <w:color w:val="000000"/>
      <w:kern w:val="2"/>
      <w:sz w:val="21"/>
      <w:szCs w:val="21"/>
      <w:lang w:val="en-US" w:eastAsia="zh-CN" w:bidi="ar-SA"/>
    </w:rPr>
  </w:style>
  <w:style w:type="paragraph" w:customStyle="1" w:styleId="27">
    <w:name w:val="xl65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8">
    <w:name w:val="xl66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9">
    <w:name w:val="xl67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b/>
      <w:bCs/>
      <w:color w:val="auto"/>
      <w:kern w:val="0"/>
    </w:rPr>
  </w:style>
  <w:style w:type="paragraph" w:customStyle="1" w:styleId="3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4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5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6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7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8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kern w:val="0"/>
    </w:rPr>
  </w:style>
  <w:style w:type="paragraph" w:customStyle="1" w:styleId="39">
    <w:name w:val="xl7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40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character" w:customStyle="1" w:styleId="41">
    <w:name w:val="批注框文本 Char"/>
    <w:basedOn w:val="9"/>
    <w:link w:val="3"/>
    <w:autoRedefine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paragraph" w:customStyle="1" w:styleId="42">
    <w:name w:val="列出段落1"/>
    <w:basedOn w:val="1"/>
    <w:autoRedefine/>
    <w:qFormat/>
    <w:uiPriority w:val="34"/>
    <w:pPr>
      <w:widowControl w:val="0"/>
      <w:ind w:firstLine="420" w:firstLineChars="200"/>
      <w:textAlignment w:val="auto"/>
    </w:pPr>
    <w:rPr>
      <w:rFonts w:ascii="Calibri" w:hAnsi="Calibri" w:eastAsia="宋体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72672-CEE1-434C-8177-B7DBFF0B1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2517</Words>
  <Characters>2697</Characters>
  <Lines>26</Lines>
  <Paragraphs>7</Paragraphs>
  <TotalTime>30</TotalTime>
  <ScaleCrop>false</ScaleCrop>
  <LinksUpToDate>false</LinksUpToDate>
  <CharactersWithSpaces>3229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2025-01-07T08:52:00Z</dcterms:created>
  <dc:creator>Data</dc:creator>
  <cp:lastModifiedBy>王俊红</cp:lastModifiedBy>
  <cp:lastPrinted>2026-02-26T03:33:00Z</cp:lastPrinted>
  <dcterms:modified xsi:type="dcterms:W3CDTF">2026-02-26T08:01:54Z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5C889FA7F4C747C4A1B250C50C34BAED_13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