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39"/>
          <w:tab w:val="left" w:pos="2520"/>
          <w:tab w:val="center" w:pos="4153"/>
          <w:tab w:val="right" w:pos="8306"/>
        </w:tabs>
        <w:spacing w:line="120" w:lineRule="auto"/>
        <w:jc w:val="both"/>
        <w:rPr>
          <w:rFonts w:hint="eastAsia"/>
          <w:b/>
          <w:bCs/>
          <w:color w:val="auto"/>
          <w:sz w:val="44"/>
          <w:szCs w:val="44"/>
        </w:rPr>
      </w:pPr>
    </w:p>
    <w:p>
      <w:pPr>
        <w:tabs>
          <w:tab w:val="left" w:pos="1639"/>
          <w:tab w:val="left" w:pos="2520"/>
          <w:tab w:val="center" w:pos="4153"/>
          <w:tab w:val="right" w:pos="8306"/>
        </w:tabs>
        <w:spacing w:line="120" w:lineRule="auto"/>
        <w:jc w:val="center"/>
        <w:rPr>
          <w:rFonts w:hint="eastAsia"/>
          <w:b/>
          <w:bCs/>
          <w:color w:val="auto"/>
          <w:sz w:val="44"/>
          <w:szCs w:val="44"/>
        </w:rPr>
      </w:pPr>
    </w:p>
    <w:p>
      <w:pPr>
        <w:tabs>
          <w:tab w:val="left" w:pos="1639"/>
          <w:tab w:val="left" w:pos="2520"/>
          <w:tab w:val="center" w:pos="4153"/>
          <w:tab w:val="right" w:pos="8306"/>
        </w:tabs>
        <w:spacing w:line="120" w:lineRule="auto"/>
        <w:jc w:val="center"/>
        <w:rPr>
          <w:rFonts w:hint="eastAsia" w:eastAsiaTheme="minorEastAsia"/>
          <w:b/>
          <w:bCs/>
          <w:color w:val="auto"/>
          <w:sz w:val="44"/>
          <w:szCs w:val="44"/>
          <w:lang w:eastAsia="zh-CN"/>
        </w:rPr>
      </w:pPr>
      <w:r>
        <w:rPr>
          <w:rFonts w:hint="eastAsia"/>
          <w:b/>
          <w:bCs/>
          <w:color w:val="auto"/>
          <w:sz w:val="44"/>
          <w:szCs w:val="44"/>
        </w:rPr>
        <w:t>拍</w:t>
      </w:r>
      <w:r>
        <w:rPr>
          <w:rFonts w:hint="eastAsia"/>
          <w:b/>
          <w:bCs/>
          <w:color w:val="auto"/>
          <w:sz w:val="44"/>
          <w:szCs w:val="44"/>
          <w:lang w:val="en-US" w:eastAsia="zh-CN"/>
        </w:rPr>
        <w:t xml:space="preserve"> </w:t>
      </w:r>
      <w:r>
        <w:rPr>
          <w:rFonts w:hint="eastAsia"/>
          <w:b/>
          <w:bCs/>
          <w:color w:val="auto"/>
          <w:sz w:val="44"/>
          <w:szCs w:val="44"/>
        </w:rPr>
        <w:t>卖</w:t>
      </w:r>
      <w:r>
        <w:rPr>
          <w:rFonts w:hint="eastAsia"/>
          <w:b/>
          <w:bCs/>
          <w:color w:val="auto"/>
          <w:sz w:val="44"/>
          <w:szCs w:val="44"/>
          <w:lang w:val="en-US" w:eastAsia="zh-CN"/>
        </w:rPr>
        <w:t xml:space="preserve"> 信 息</w:t>
      </w:r>
    </w:p>
    <w:p>
      <w:pPr>
        <w:tabs>
          <w:tab w:val="left" w:pos="1639"/>
          <w:tab w:val="left" w:pos="2520"/>
          <w:tab w:val="center" w:pos="4153"/>
          <w:tab w:val="right" w:pos="8306"/>
        </w:tabs>
        <w:spacing w:line="120" w:lineRule="auto"/>
        <w:jc w:val="center"/>
        <w:rPr>
          <w:b/>
          <w:bCs/>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兹定于202</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年</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29日（星期四</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15</w:t>
      </w:r>
      <w:r>
        <w:rPr>
          <w:rFonts w:hint="eastAsia" w:ascii="仿宋_GB2312" w:eastAsia="仿宋_GB2312"/>
          <w:color w:val="auto"/>
          <w:sz w:val="28"/>
          <w:szCs w:val="28"/>
        </w:rPr>
        <w:t>时在</w:t>
      </w:r>
      <w:r>
        <w:rPr>
          <w:rFonts w:hint="eastAsia" w:ascii="仿宋_GB2312" w:eastAsia="仿宋_GB2312"/>
          <w:color w:val="auto"/>
          <w:sz w:val="28"/>
          <w:szCs w:val="28"/>
          <w:lang w:val="en-US" w:eastAsia="zh-CN"/>
        </w:rPr>
        <w:t>福州市</w:t>
      </w:r>
      <w:r>
        <w:rPr>
          <w:rFonts w:hint="eastAsia" w:ascii="仿宋_GB2312" w:eastAsia="仿宋_GB2312"/>
          <w:color w:val="auto"/>
          <w:sz w:val="28"/>
          <w:szCs w:val="28"/>
        </w:rPr>
        <w:t>永泰县农村产权流转服务中心拍卖大厅（</w:t>
      </w:r>
      <w:r>
        <w:rPr>
          <w:rFonts w:hint="eastAsia" w:ascii="仿宋_GB2312" w:eastAsia="仿宋_GB2312"/>
          <w:color w:val="auto"/>
          <w:sz w:val="28"/>
          <w:szCs w:val="28"/>
          <w:lang w:val="en-US" w:eastAsia="zh-CN"/>
        </w:rPr>
        <w:t>福建省福州市</w:t>
      </w:r>
      <w:r>
        <w:rPr>
          <w:rFonts w:hint="eastAsia" w:ascii="仿宋_GB2312" w:eastAsia="仿宋_GB2312"/>
          <w:color w:val="auto"/>
          <w:sz w:val="28"/>
          <w:szCs w:val="28"/>
        </w:rPr>
        <w:t>永泰县城峰镇刘岐村立塘66号万冠双子星大楼，永泰县行政服务中心二楼）举行拍卖会。拍卖标的: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rPr>
          <w:rFonts w:hint="eastAsia" w:ascii="仿宋_GB2312" w:eastAsia="仿宋_GB2312"/>
          <w:b/>
          <w:bCs/>
          <w:color w:val="auto"/>
          <w:sz w:val="28"/>
          <w:szCs w:val="28"/>
          <w:lang w:val="en-US" w:eastAsia="zh-CN"/>
        </w:rPr>
      </w:pPr>
      <w:r>
        <w:rPr>
          <w:rFonts w:hint="eastAsia" w:ascii="仿宋_GB2312" w:eastAsia="仿宋_GB2312"/>
          <w:b/>
          <w:bCs/>
          <w:color w:val="auto"/>
          <w:sz w:val="28"/>
          <w:szCs w:val="28"/>
          <w:lang w:val="en-US" w:eastAsia="zh-CN"/>
        </w:rPr>
        <w:t>1.福建省永泰县城峰镇刘岐村立塘66号万冠双子星2号楼第22层共26套商业用房（总建筑面积约1310.64㎡，按单元房号逐套拍卖）；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rPr>
          <w:rFonts w:hint="eastAsia" w:ascii="仿宋_GB2312" w:eastAsia="仿宋_GB2312"/>
          <w:b/>
          <w:bCs/>
          <w:color w:val="auto"/>
          <w:sz w:val="28"/>
          <w:szCs w:val="28"/>
          <w:lang w:val="en-US" w:eastAsia="zh-CN"/>
        </w:rPr>
      </w:pPr>
      <w:r>
        <w:rPr>
          <w:rFonts w:hint="eastAsia" w:ascii="仿宋_GB2312" w:eastAsia="仿宋_GB2312"/>
          <w:b/>
          <w:bCs/>
          <w:color w:val="auto"/>
          <w:sz w:val="28"/>
          <w:szCs w:val="28"/>
          <w:lang w:val="en-US" w:eastAsia="zh-CN"/>
        </w:rPr>
        <w:t>2.福建省永泰县城峰镇刘岐村立塘66号万冠双子星地下室负2层2055-2061、2066-2067、2070-2079共19个车位（各车位建筑面积均约33.66㎡，按车位号逐个拍卖）。</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仿宋_GB2312" w:eastAsia="仿宋_GB2312"/>
          <w:b/>
          <w:bCs/>
          <w:color w:val="auto"/>
          <w:sz w:val="28"/>
          <w:szCs w:val="28"/>
          <w:lang w:val="en-US" w:eastAsia="zh-CN"/>
        </w:rPr>
      </w:pPr>
      <w:r>
        <w:rPr>
          <w:rFonts w:hint="eastAsia" w:ascii="仿宋" w:hAnsi="仿宋" w:eastAsia="仿宋" w:cs="仿宋"/>
          <w:b/>
          <w:bCs/>
          <w:color w:val="auto"/>
          <w:sz w:val="28"/>
          <w:szCs w:val="28"/>
          <w:lang w:val="zh-TW" w:eastAsia="zh-TW"/>
        </w:rPr>
        <w:t>（</w:t>
      </w:r>
      <w:r>
        <w:rPr>
          <w:rFonts w:hint="eastAsia" w:ascii="仿宋" w:hAnsi="仿宋" w:eastAsia="仿宋" w:cs="仿宋"/>
          <w:b/>
          <w:bCs/>
          <w:color w:val="auto"/>
          <w:sz w:val="28"/>
          <w:szCs w:val="28"/>
        </w:rPr>
        <w:t>上述标的详见本公司网站</w:t>
      </w:r>
      <w:r>
        <w:rPr>
          <w:rFonts w:hint="eastAsia" w:ascii="仿宋" w:hAnsi="仿宋" w:eastAsia="仿宋" w:cs="仿宋"/>
          <w:b/>
          <w:bCs/>
          <w:color w:val="auto"/>
          <w:sz w:val="28"/>
          <w:szCs w:val="28"/>
          <w:lang w:val="zh-TW" w:eastAsia="zh-TW"/>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_GB2312" w:eastAsia="仿宋_GB2312"/>
          <w:color w:val="auto"/>
          <w:sz w:val="28"/>
          <w:szCs w:val="28"/>
        </w:rPr>
      </w:pPr>
      <w:r>
        <w:rPr>
          <w:rFonts w:hint="eastAsia" w:ascii="仿宋" w:hAnsi="仿宋" w:eastAsia="仿宋" w:cs="仿宋"/>
          <w:color w:val="auto"/>
          <w:sz w:val="28"/>
          <w:szCs w:val="28"/>
        </w:rPr>
        <w:t>有意竞</w:t>
      </w:r>
      <w:r>
        <w:rPr>
          <w:rFonts w:hint="eastAsia" w:ascii="仿宋" w:hAnsi="仿宋" w:eastAsia="仿宋" w:cs="仿宋"/>
          <w:color w:val="auto"/>
          <w:sz w:val="28"/>
          <w:szCs w:val="28"/>
          <w:lang w:val="en-US" w:eastAsia="zh-CN"/>
        </w:rPr>
        <w:t>买</w:t>
      </w:r>
      <w:r>
        <w:rPr>
          <w:rFonts w:hint="eastAsia" w:ascii="仿宋" w:hAnsi="仿宋" w:eastAsia="仿宋" w:cs="仿宋"/>
          <w:color w:val="auto"/>
          <w:sz w:val="28"/>
          <w:szCs w:val="28"/>
        </w:rPr>
        <w:t>者，请于</w:t>
      </w:r>
      <w:r>
        <w:rPr>
          <w:rFonts w:hint="eastAsia" w:ascii="仿宋" w:hAnsi="仿宋" w:eastAsia="仿宋" w:cs="仿宋"/>
          <w:color w:val="auto"/>
          <w:sz w:val="28"/>
          <w:szCs w:val="28"/>
          <w:lang w:val="en-US" w:eastAsia="zh-CN"/>
        </w:rPr>
        <w:t>拍卖会</w:t>
      </w:r>
      <w:r>
        <w:rPr>
          <w:rFonts w:hint="eastAsia" w:ascii="仿宋" w:hAnsi="仿宋" w:eastAsia="仿宋" w:cs="仿宋"/>
          <w:color w:val="auto"/>
          <w:sz w:val="28"/>
          <w:szCs w:val="28"/>
        </w:rPr>
        <w:t>前将竞</w:t>
      </w:r>
      <w:r>
        <w:rPr>
          <w:rFonts w:hint="eastAsia" w:ascii="仿宋" w:hAnsi="仿宋" w:eastAsia="仿宋" w:cs="仿宋"/>
          <w:color w:val="auto"/>
          <w:sz w:val="28"/>
          <w:szCs w:val="28"/>
          <w:lang w:val="en-US" w:eastAsia="zh-CN"/>
        </w:rPr>
        <w:t>买</w:t>
      </w:r>
      <w:r>
        <w:rPr>
          <w:rFonts w:hint="eastAsia" w:ascii="仿宋" w:hAnsi="仿宋" w:eastAsia="仿宋" w:cs="仿宋"/>
          <w:color w:val="auto"/>
          <w:sz w:val="28"/>
          <w:szCs w:val="28"/>
        </w:rPr>
        <w:t>保证金存入本司指定账户（以到账时间为准），并携带保证金缴款凭证及相关身份证明文件与本公司办理竞</w:t>
      </w:r>
      <w:r>
        <w:rPr>
          <w:rFonts w:hint="eastAsia" w:ascii="仿宋" w:hAnsi="仿宋" w:eastAsia="仿宋" w:cs="仿宋"/>
          <w:color w:val="auto"/>
          <w:sz w:val="28"/>
          <w:szCs w:val="28"/>
          <w:lang w:val="en-US" w:eastAsia="zh-CN"/>
        </w:rPr>
        <w:t>买</w:t>
      </w:r>
      <w:r>
        <w:rPr>
          <w:rFonts w:hint="eastAsia" w:ascii="仿宋" w:hAnsi="仿宋" w:eastAsia="仿宋" w:cs="仿宋"/>
          <w:color w:val="auto"/>
          <w:sz w:val="28"/>
          <w:szCs w:val="28"/>
        </w:rPr>
        <w:t>人登记手续。</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★展示时间、地点：202</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年</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月</w:t>
      </w:r>
      <w:r>
        <w:rPr>
          <w:rFonts w:hint="eastAsia" w:ascii="仿宋_GB2312" w:eastAsia="仿宋_GB2312"/>
          <w:color w:val="auto"/>
          <w:sz w:val="28"/>
          <w:szCs w:val="28"/>
          <w:lang w:val="en-US" w:eastAsia="zh-CN"/>
        </w:rPr>
        <w:t>20</w:t>
      </w:r>
      <w:r>
        <w:rPr>
          <w:rFonts w:hint="eastAsia" w:ascii="仿宋_GB2312" w:eastAsia="仿宋_GB2312"/>
          <w:color w:val="auto"/>
          <w:sz w:val="28"/>
          <w:szCs w:val="28"/>
        </w:rPr>
        <w:t>日-</w:t>
      </w:r>
      <w:r>
        <w:rPr>
          <w:rFonts w:hint="eastAsia" w:ascii="仿宋_GB2312" w:eastAsia="仿宋_GB2312"/>
          <w:color w:val="auto"/>
          <w:sz w:val="28"/>
          <w:szCs w:val="28"/>
          <w:lang w:val="en-US" w:eastAsia="zh-CN"/>
        </w:rPr>
        <w:t>21</w:t>
      </w:r>
      <w:r>
        <w:rPr>
          <w:rFonts w:hint="eastAsia" w:ascii="仿宋_GB2312" w:eastAsia="仿宋_GB2312"/>
          <w:color w:val="auto"/>
          <w:sz w:val="28"/>
          <w:szCs w:val="28"/>
        </w:rPr>
        <w:t>日，标的物现场</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★联系电话：</w:t>
      </w:r>
      <w:r>
        <w:rPr>
          <w:rFonts w:hint="eastAsia" w:ascii="仿宋" w:hAnsi="仿宋" w:eastAsia="仿宋" w:cs="仿宋"/>
          <w:color w:val="auto"/>
          <w:sz w:val="28"/>
          <w:szCs w:val="28"/>
          <w:lang w:val="en-US" w:eastAsia="zh-CN"/>
        </w:rPr>
        <w:t>18650065557、13600819581</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★联系地址：福建省福州市鼓楼区五四路210号国际大厦20层</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★网    址：http://www.fjhxpmh.com/</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★公司微信号：hxpmh1995</w:t>
      </w:r>
    </w:p>
    <w:p>
      <w:pPr>
        <w:pStyle w:val="4"/>
        <w:keepNext w:val="0"/>
        <w:keepLines w:val="0"/>
        <w:pageBreakBefore w:val="0"/>
        <w:widowControl w:val="0"/>
        <w:kinsoku/>
        <w:wordWrap/>
        <w:overflowPunct/>
        <w:topLinePunct w:val="0"/>
        <w:autoSpaceDE/>
        <w:autoSpaceDN/>
        <w:bidi w:val="0"/>
        <w:adjustRightInd/>
        <w:snapToGrid/>
        <w:spacing w:line="500" w:lineRule="exact"/>
        <w:ind w:firstLine="6160" w:firstLineChars="2200"/>
        <w:jc w:val="right"/>
        <w:textAlignment w:val="auto"/>
        <w:rPr>
          <w:rFonts w:hint="eastAsia" w:ascii="仿宋_GB2312"/>
          <w:color w:val="auto"/>
          <w:sz w:val="28"/>
        </w:rPr>
      </w:pPr>
      <w:r>
        <w:rPr>
          <w:rFonts w:hint="eastAsia" w:ascii="仿宋_GB2312"/>
          <w:color w:val="auto"/>
          <w:sz w:val="28"/>
        </w:rPr>
        <w:t>福建省海峡拍卖行有限公司</w:t>
      </w:r>
    </w:p>
    <w:p>
      <w:pPr>
        <w:pStyle w:val="4"/>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default" w:ascii="仿宋_GB2312" w:eastAsia="仿宋_GB2312"/>
          <w:color w:val="auto"/>
          <w:sz w:val="28"/>
          <w:lang w:val="en-US" w:eastAsia="zh-CN"/>
        </w:rPr>
      </w:pPr>
      <w:r>
        <w:rPr>
          <w:rFonts w:hint="eastAsia" w:ascii="仿宋_GB2312"/>
          <w:color w:val="auto"/>
          <w:sz w:val="28"/>
          <w:lang w:val="en-US" w:eastAsia="zh-CN"/>
        </w:rPr>
        <w:t>福建省海峡拍卖行有限公司泉州分公司</w:t>
      </w:r>
    </w:p>
    <w:p>
      <w:pPr>
        <w:pStyle w:val="4"/>
        <w:spacing w:line="400" w:lineRule="exact"/>
        <w:jc w:val="right"/>
        <w:rPr>
          <w:rFonts w:hint="eastAsia" w:ascii="仿宋_GB2312"/>
          <w:color w:val="auto"/>
          <w:sz w:val="28"/>
        </w:rPr>
      </w:pPr>
      <w:r>
        <w:rPr>
          <w:rFonts w:hint="eastAsia" w:ascii="仿宋_GB2312"/>
          <w:color w:val="auto"/>
          <w:sz w:val="28"/>
        </w:rPr>
        <w:t xml:space="preserve">                 202</w:t>
      </w:r>
      <w:r>
        <w:rPr>
          <w:rFonts w:hint="eastAsia" w:ascii="仿宋_GB2312"/>
          <w:color w:val="auto"/>
          <w:sz w:val="28"/>
          <w:lang w:val="en-US" w:eastAsia="zh-CN"/>
        </w:rPr>
        <w:t>2</w:t>
      </w:r>
      <w:r>
        <w:rPr>
          <w:rFonts w:hint="eastAsia" w:ascii="仿宋_GB2312"/>
          <w:color w:val="auto"/>
          <w:sz w:val="28"/>
        </w:rPr>
        <w:t>年</w:t>
      </w:r>
      <w:r>
        <w:rPr>
          <w:rFonts w:hint="eastAsia" w:ascii="仿宋_GB2312"/>
          <w:color w:val="auto"/>
          <w:sz w:val="28"/>
          <w:lang w:val="en-US" w:eastAsia="zh-CN"/>
        </w:rPr>
        <w:t>9</w:t>
      </w:r>
      <w:r>
        <w:rPr>
          <w:rFonts w:hint="eastAsia" w:ascii="仿宋_GB2312"/>
          <w:color w:val="auto"/>
          <w:sz w:val="28"/>
        </w:rPr>
        <w:t>月</w:t>
      </w:r>
      <w:r>
        <w:rPr>
          <w:rFonts w:hint="eastAsia" w:ascii="仿宋_GB2312"/>
          <w:color w:val="auto"/>
          <w:sz w:val="28"/>
          <w:lang w:val="en-US" w:eastAsia="zh-CN"/>
        </w:rPr>
        <w:t>14</w:t>
      </w:r>
      <w:r>
        <w:rPr>
          <w:rFonts w:hint="eastAsia" w:ascii="仿宋_GB2312"/>
          <w:color w:val="auto"/>
          <w:sz w:val="28"/>
        </w:rPr>
        <w:t>日</w:t>
      </w:r>
    </w:p>
    <w:p>
      <w:pPr>
        <w:pStyle w:val="4"/>
        <w:spacing w:line="400" w:lineRule="exact"/>
        <w:rPr>
          <w:rFonts w:hint="eastAsia" w:ascii="仿宋_GB2312"/>
          <w:color w:val="auto"/>
          <w:sz w:val="28"/>
        </w:rPr>
      </w:pPr>
    </w:p>
    <w:p>
      <w:pPr>
        <w:pStyle w:val="11"/>
        <w:keepNext w:val="0"/>
        <w:keepLines w:val="0"/>
        <w:pageBreakBefore w:val="0"/>
        <w:widowControl w:val="0"/>
        <w:overflowPunct/>
        <w:bidi w:val="0"/>
        <w:snapToGrid/>
        <w:spacing w:line="240" w:lineRule="auto"/>
        <w:ind w:left="0" w:right="210"/>
        <w:jc w:val="center"/>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center"/>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center"/>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both"/>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both"/>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center"/>
        <w:textAlignment w:val="auto"/>
        <w:rPr>
          <w:rFonts w:hint="eastAsia" w:ascii="仿宋" w:hAnsi="仿宋" w:eastAsia="仿宋" w:cs="仿宋"/>
          <w:b/>
          <w:bCs/>
          <w:sz w:val="44"/>
          <w:szCs w:val="44"/>
          <w:lang w:val="en-US" w:eastAsia="zh-CN"/>
        </w:rPr>
      </w:pPr>
    </w:p>
    <w:p>
      <w:pPr>
        <w:pStyle w:val="11"/>
        <w:keepNext w:val="0"/>
        <w:keepLines w:val="0"/>
        <w:pageBreakBefore w:val="0"/>
        <w:widowControl w:val="0"/>
        <w:overflowPunct/>
        <w:bidi w:val="0"/>
        <w:snapToGrid/>
        <w:spacing w:line="240" w:lineRule="auto"/>
        <w:ind w:left="0" w:right="210"/>
        <w:jc w:val="center"/>
        <w:textAlignment w:val="auto"/>
        <w:rPr>
          <w:rFonts w:hint="default" w:ascii="仿宋" w:hAnsi="仿宋" w:eastAsia="仿宋" w:cs="仿宋"/>
          <w:b/>
          <w:bCs/>
          <w:sz w:val="44"/>
          <w:szCs w:val="44"/>
          <w:lang w:val="en-US" w:eastAsia="zh-CN"/>
        </w:rPr>
      </w:pPr>
      <w:r>
        <w:rPr>
          <w:rFonts w:hint="eastAsia" w:ascii="仿宋" w:hAnsi="仿宋" w:eastAsia="仿宋" w:cs="仿宋"/>
          <w:b/>
          <w:bCs/>
          <w:sz w:val="44"/>
          <w:szCs w:val="44"/>
          <w:lang w:val="en-US" w:eastAsia="zh-CN"/>
        </w:rPr>
        <w:t>项目简介</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460" w:lineRule="exact"/>
        <w:ind w:left="0" w:right="0"/>
        <w:jc w:val="left"/>
        <w:textAlignment w:val="auto"/>
        <w:rPr>
          <w:rFonts w:ascii="仿宋" w:hAnsi="仿宋" w:eastAsia="仿宋"/>
          <w:b/>
          <w:sz w:val="30"/>
          <w:szCs w:val="30"/>
          <w:lang w:val="en-US" w:eastAsia="zh-CN"/>
        </w:rPr>
      </w:pPr>
      <w:r>
        <w:rPr>
          <w:rFonts w:ascii="仿宋" w:hAnsi="仿宋" w:eastAsia="仿宋"/>
          <w:b/>
          <w:sz w:val="30"/>
          <w:szCs w:val="30"/>
          <w:lang w:val="en-US" w:eastAsia="zh-CN"/>
        </w:rPr>
        <w:t>标的名称：</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2" w:firstLineChars="200"/>
        <w:jc w:val="left"/>
        <w:textAlignment w:val="auto"/>
        <w:rPr>
          <w:rFonts w:hint="eastAsia" w:ascii="仿宋" w:hAnsi="仿宋" w:eastAsia="仿宋"/>
          <w:b/>
          <w:sz w:val="30"/>
          <w:szCs w:val="30"/>
          <w:lang w:val="en-US" w:eastAsia="zh-CN"/>
        </w:rPr>
      </w:pPr>
      <w:r>
        <w:rPr>
          <w:rFonts w:hint="eastAsia" w:ascii="仿宋" w:hAnsi="仿宋" w:eastAsia="仿宋"/>
          <w:b/>
          <w:sz w:val="30"/>
          <w:szCs w:val="30"/>
          <w:lang w:val="en-US" w:eastAsia="zh-CN"/>
        </w:rPr>
        <w:t>1.福建省永泰县城峰镇刘岐村立塘66号万冠双子星2号楼第22层共26套商业用房（总建筑面积约1310.64㎡，按单元房号逐套拍卖）；</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2" w:firstLineChars="200"/>
        <w:jc w:val="left"/>
        <w:textAlignment w:val="auto"/>
        <w:rPr>
          <w:rFonts w:hint="eastAsia" w:ascii="仿宋" w:hAnsi="仿宋" w:eastAsia="仿宋"/>
          <w:b/>
          <w:sz w:val="30"/>
          <w:szCs w:val="30"/>
          <w:lang w:val="en-US" w:eastAsia="zh-CN"/>
        </w:rPr>
      </w:pPr>
      <w:r>
        <w:rPr>
          <w:rFonts w:hint="eastAsia" w:ascii="仿宋" w:hAnsi="仿宋" w:eastAsia="仿宋"/>
          <w:b/>
          <w:sz w:val="30"/>
          <w:szCs w:val="30"/>
          <w:lang w:val="en-US" w:eastAsia="zh-CN"/>
        </w:rPr>
        <w:t>2.福建省永泰县城峰镇刘岐村立塘66号万冠双子星地下室负2层2055-2061、2066-2067、2070-2079共19个车位（各车位建筑面积均约33.66㎡，按车位号逐个拍卖）。</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bCs w:val="0"/>
          <w:sz w:val="30"/>
          <w:szCs w:val="30"/>
          <w:lang w:val="en-US" w:eastAsia="zh-CN"/>
        </w:rPr>
      </w:pPr>
      <w:r>
        <w:rPr>
          <w:rFonts w:hint="eastAsia" w:ascii="仿宋" w:hAnsi="仿宋" w:eastAsia="仿宋"/>
          <w:b/>
          <w:bCs w:val="0"/>
          <w:sz w:val="30"/>
          <w:szCs w:val="30"/>
          <w:lang w:val="en-US" w:eastAsia="zh-CN"/>
        </w:rPr>
        <w:t>二、</w:t>
      </w:r>
      <w:r>
        <w:rPr>
          <w:rFonts w:ascii="仿宋" w:hAnsi="仿宋" w:eastAsia="仿宋"/>
          <w:b/>
          <w:bCs w:val="0"/>
          <w:sz w:val="30"/>
          <w:szCs w:val="30"/>
          <w:lang w:val="en-US" w:eastAsia="zh-CN"/>
        </w:rPr>
        <w:t>标的</w:t>
      </w:r>
      <w:r>
        <w:rPr>
          <w:rFonts w:hint="eastAsia" w:ascii="仿宋" w:hAnsi="仿宋" w:eastAsia="仿宋"/>
          <w:b/>
          <w:bCs w:val="0"/>
          <w:sz w:val="30"/>
          <w:szCs w:val="30"/>
          <w:lang w:val="en-US" w:eastAsia="zh-CN"/>
        </w:rPr>
        <w:t>基本情况</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b w:val="0"/>
          <w:bCs/>
          <w:sz w:val="30"/>
          <w:szCs w:val="30"/>
          <w:lang w:val="en-US" w:eastAsia="zh-CN"/>
        </w:rPr>
      </w:pPr>
      <w:r>
        <w:rPr>
          <w:rFonts w:hint="eastAsia" w:ascii="仿宋" w:hAnsi="仿宋" w:eastAsia="仿宋"/>
          <w:b w:val="0"/>
          <w:bCs/>
          <w:sz w:val="30"/>
          <w:szCs w:val="30"/>
          <w:lang w:val="en-US" w:eastAsia="zh-CN"/>
        </w:rPr>
        <w:t>1、权属资料记载：土地使用权类型为出让；使用年限至2053年8月12日（商业、车位）。</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default" w:ascii="仿宋" w:hAnsi="仿宋" w:eastAsia="仿宋"/>
          <w:b w:val="0"/>
          <w:bCs/>
          <w:color w:val="auto"/>
          <w:sz w:val="30"/>
          <w:szCs w:val="30"/>
          <w:lang w:val="en-US" w:eastAsia="zh-CN"/>
        </w:rPr>
      </w:pPr>
      <w:r>
        <w:rPr>
          <w:rFonts w:hint="eastAsia" w:ascii="仿宋" w:hAnsi="仿宋" w:eastAsia="仿宋"/>
          <w:b w:val="0"/>
          <w:bCs/>
          <w:sz w:val="30"/>
          <w:szCs w:val="30"/>
          <w:lang w:val="en-US" w:eastAsia="zh-CN"/>
        </w:rPr>
        <w:t>2、该大厦位于永泰县一级商服用地，建成于2016年。建筑层数：地上22层，地下2层</w:t>
      </w:r>
      <w:r>
        <w:rPr>
          <w:rFonts w:hint="eastAsia" w:ascii="仿宋" w:hAnsi="仿宋" w:eastAsia="仿宋"/>
          <w:b w:val="0"/>
          <w:bCs/>
          <w:color w:val="auto"/>
          <w:sz w:val="30"/>
          <w:szCs w:val="30"/>
          <w:lang w:val="en-US" w:eastAsia="zh-CN"/>
        </w:rPr>
        <w:t>；</w:t>
      </w:r>
      <w:r>
        <w:rPr>
          <w:rFonts w:hint="eastAsia" w:ascii="仿宋" w:hAnsi="仿宋" w:eastAsia="仿宋"/>
          <w:b/>
          <w:bCs w:val="0"/>
          <w:color w:val="auto"/>
          <w:sz w:val="32"/>
          <w:szCs w:val="32"/>
          <w:lang w:val="en-US" w:eastAsia="zh-CN"/>
        </w:rPr>
        <w:t>层高为5</w:t>
      </w:r>
      <w:bookmarkStart w:id="0" w:name="_GoBack"/>
      <w:bookmarkEnd w:id="0"/>
      <w:r>
        <w:rPr>
          <w:rFonts w:hint="eastAsia" w:ascii="仿宋" w:hAnsi="仿宋" w:eastAsia="仿宋"/>
          <w:b/>
          <w:bCs w:val="0"/>
          <w:color w:val="auto"/>
          <w:sz w:val="32"/>
          <w:szCs w:val="32"/>
          <w:lang w:val="en-US" w:eastAsia="zh-CN"/>
        </w:rPr>
        <w:t>米的商业用房。</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cs="Times New Roman"/>
          <w:b w:val="0"/>
          <w:bCs/>
          <w:color w:val="auto"/>
          <w:kern w:val="2"/>
          <w:sz w:val="30"/>
          <w:szCs w:val="30"/>
          <w:lang w:val="en-US" w:eastAsia="zh-CN" w:bidi="ar-SA"/>
        </w:rPr>
      </w:pPr>
      <w:r>
        <w:rPr>
          <w:rFonts w:hint="eastAsia" w:ascii="仿宋" w:hAnsi="仿宋" w:eastAsia="仿宋" w:cs="Times New Roman"/>
          <w:b w:val="0"/>
          <w:bCs/>
          <w:color w:val="auto"/>
          <w:kern w:val="2"/>
          <w:sz w:val="30"/>
          <w:szCs w:val="30"/>
          <w:lang w:val="en-US" w:eastAsia="zh-CN" w:bidi="ar-SA"/>
        </w:rPr>
        <w:t>3、拍卖标的范围：</w:t>
      </w:r>
      <w:r>
        <w:rPr>
          <w:rFonts w:hint="eastAsia" w:ascii="仿宋" w:hAnsi="仿宋" w:eastAsia="仿宋" w:cs="Times New Roman"/>
          <w:b w:val="0"/>
          <w:bCs/>
          <w:color w:val="auto"/>
          <w:kern w:val="2"/>
          <w:sz w:val="32"/>
          <w:szCs w:val="32"/>
          <w:lang w:val="en-US" w:eastAsia="zh-CN" w:bidi="ar-SA"/>
        </w:rPr>
        <w:t>地上第22层（顶层，视野无敌）共26套商业用房</w:t>
      </w:r>
      <w:r>
        <w:rPr>
          <w:rFonts w:hint="eastAsia" w:ascii="仿宋" w:hAnsi="仿宋" w:eastAsia="仿宋" w:cs="Times New Roman"/>
          <w:b w:val="0"/>
          <w:bCs/>
          <w:color w:val="auto"/>
          <w:kern w:val="2"/>
          <w:sz w:val="30"/>
          <w:szCs w:val="30"/>
          <w:lang w:val="en-US" w:eastAsia="zh-CN" w:bidi="ar-SA"/>
        </w:rPr>
        <w:t>（总建筑面积约1310.64㎡，按单元房号逐套拍卖）；地下室负2层2055-2061、2066-2067、2070-2079共19个车位（各车位建筑面积均约33.66㎡，按车位号逐个拍卖）。</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b w:val="0"/>
          <w:bCs/>
          <w:color w:val="auto"/>
          <w:sz w:val="30"/>
          <w:szCs w:val="30"/>
          <w:lang w:val="en-US" w:eastAsia="zh-CN"/>
        </w:rPr>
      </w:pPr>
      <w:r>
        <w:rPr>
          <w:rFonts w:hint="eastAsia" w:ascii="仿宋" w:hAnsi="仿宋" w:eastAsia="仿宋"/>
          <w:b w:val="0"/>
          <w:bCs/>
          <w:color w:val="auto"/>
          <w:sz w:val="30"/>
          <w:szCs w:val="30"/>
          <w:lang w:val="en-US" w:eastAsia="zh-CN"/>
        </w:rPr>
        <w:t>4、用途：法定用途为商务金融/商业、商业金融/车位，实际用途为办公、车位。地类（用途）为商务金融用地。</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40" w:firstLineChars="200"/>
        <w:jc w:val="left"/>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5、拍卖成交后，标的物在办理产权过户过程产生的各种税、费，依照相关法律法规由买卖双方各自承担。</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b w:val="0"/>
          <w:bCs/>
          <w:color w:val="auto"/>
          <w:sz w:val="30"/>
          <w:szCs w:val="30"/>
          <w:lang w:val="en-US" w:eastAsia="zh-CN"/>
        </w:rPr>
      </w:pPr>
      <w:r>
        <w:rPr>
          <w:rFonts w:hint="eastAsia" w:ascii="仿宋" w:hAnsi="仿宋" w:eastAsia="仿宋"/>
          <w:b w:val="0"/>
          <w:bCs/>
          <w:color w:val="auto"/>
          <w:sz w:val="30"/>
          <w:szCs w:val="30"/>
          <w:lang w:val="en-US" w:eastAsia="zh-CN"/>
        </w:rPr>
        <w:t>6、特别约定：竞拍车位须至少购买一套房产且每竞买一套房产最多只能竞得一个车位，以此类推。</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bCs w:val="0"/>
          <w:sz w:val="30"/>
          <w:szCs w:val="30"/>
          <w:lang w:val="en-US" w:eastAsia="zh-CN"/>
        </w:rPr>
      </w:pPr>
      <w:r>
        <w:rPr>
          <w:rFonts w:hint="eastAsia" w:ascii="仿宋" w:hAnsi="仿宋" w:eastAsia="仿宋"/>
          <w:b/>
          <w:bCs w:val="0"/>
          <w:sz w:val="30"/>
          <w:szCs w:val="30"/>
          <w:lang w:val="en-US" w:eastAsia="zh-CN"/>
        </w:rPr>
        <w:t>三、标的清单</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val="0"/>
          <w:bCs/>
          <w:sz w:val="30"/>
          <w:szCs w:val="30"/>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default" w:ascii="仿宋" w:hAnsi="仿宋" w:eastAsia="仿宋"/>
          <w:b w:val="0"/>
          <w:bCs/>
          <w:sz w:val="30"/>
          <w:szCs w:val="30"/>
          <w:lang w:val="en-US" w:eastAsia="zh-CN"/>
        </w:rPr>
      </w:pPr>
      <w:r>
        <w:rPr>
          <w:rFonts w:hint="eastAsia" w:ascii="仿宋" w:hAnsi="仿宋" w:eastAsia="仿宋"/>
          <w:b w:val="0"/>
          <w:bCs/>
          <w:sz w:val="30"/>
          <w:szCs w:val="30"/>
          <w:lang w:val="en-US" w:eastAsia="zh-CN"/>
        </w:rPr>
        <w:t>1.第22层办公房地产：（本表仅供参考，实际以产权证上标注为准）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734"/>
        <w:gridCol w:w="2595"/>
        <w:gridCol w:w="2683"/>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序号</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单元号</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eastAsia" w:ascii="仿宋" w:hAnsi="仿宋" w:eastAsia="仿宋_GB2312"/>
                <w:b/>
                <w:bCs w:val="0"/>
                <w:sz w:val="28"/>
                <w:szCs w:val="28"/>
                <w:vertAlign w:val="baseline"/>
                <w:lang w:val="en-US" w:eastAsia="zh-CN"/>
              </w:rPr>
            </w:pPr>
            <w:r>
              <w:rPr>
                <w:rFonts w:hint="eastAsia" w:ascii="仿宋" w:hAnsi="仿宋" w:eastAsia="仿宋"/>
                <w:b/>
                <w:bCs w:val="0"/>
                <w:sz w:val="28"/>
                <w:szCs w:val="28"/>
                <w:vertAlign w:val="baseline"/>
                <w:lang w:val="en-US" w:eastAsia="zh-CN"/>
              </w:rPr>
              <w:t>建筑面积约（</w:t>
            </w:r>
            <w:r>
              <w:rPr>
                <w:rFonts w:hint="eastAsia" w:ascii="仿宋_GB2312" w:eastAsia="仿宋_GB2312"/>
                <w:b/>
                <w:bCs w:val="0"/>
                <w:color w:val="auto"/>
                <w:sz w:val="28"/>
                <w:szCs w:val="28"/>
              </w:rPr>
              <w:t>㎡</w:t>
            </w:r>
            <w:r>
              <w:rPr>
                <w:rFonts w:hint="eastAsia" w:ascii="仿宋_GB2312" w:eastAsia="仿宋_GB2312"/>
                <w:b/>
                <w:bCs w:val="0"/>
                <w:color w:val="auto"/>
                <w:sz w:val="28"/>
                <w:szCs w:val="28"/>
                <w:lang w:eastAsia="zh-CN"/>
              </w:rPr>
              <w:t>）</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eastAsia" w:ascii="仿宋" w:hAnsi="仿宋" w:eastAsia="仿宋_GB2312"/>
                <w:b/>
                <w:bCs w:val="0"/>
                <w:sz w:val="28"/>
                <w:szCs w:val="28"/>
                <w:vertAlign w:val="baseline"/>
                <w:lang w:val="en-US" w:eastAsia="zh-CN"/>
              </w:rPr>
            </w:pPr>
            <w:r>
              <w:rPr>
                <w:rFonts w:hint="eastAsia" w:ascii="仿宋" w:hAnsi="仿宋" w:eastAsia="仿宋"/>
                <w:b/>
                <w:bCs w:val="0"/>
                <w:sz w:val="28"/>
                <w:szCs w:val="28"/>
                <w:vertAlign w:val="baseline"/>
                <w:lang w:val="en-US" w:eastAsia="zh-CN"/>
              </w:rPr>
              <w:t>参考单价（元/</w:t>
            </w:r>
            <w:r>
              <w:rPr>
                <w:rFonts w:hint="eastAsia" w:ascii="仿宋_GB2312" w:eastAsia="仿宋_GB2312"/>
                <w:b/>
                <w:bCs w:val="0"/>
                <w:color w:val="auto"/>
                <w:sz w:val="28"/>
                <w:szCs w:val="28"/>
              </w:rPr>
              <w:t>㎡</w:t>
            </w:r>
            <w:r>
              <w:rPr>
                <w:rFonts w:hint="eastAsia" w:ascii="仿宋_GB2312" w:eastAsia="仿宋_GB2312"/>
                <w:b/>
                <w:bCs w:val="0"/>
                <w:color w:val="auto"/>
                <w:sz w:val="28"/>
                <w:szCs w:val="28"/>
                <w:lang w:eastAsia="zh-CN"/>
              </w:rPr>
              <w:t>）</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参考总价（元）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2201</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49.26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9010.12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443839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2202</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49.69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9010.12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447713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2203</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49.69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9010.12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447713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2204</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49.69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9010.12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447713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2205</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49.26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9010.12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443839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2206</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70.99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9284.10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659078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2207</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45.74</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403712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bCs w:val="0"/>
                <w:sz w:val="28"/>
                <w:szCs w:val="28"/>
                <w:vertAlign w:val="baseline"/>
                <w:lang w:val="en-US" w:eastAsia="zh-CN"/>
              </w:rPr>
              <w:t>序号</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bCs w:val="0"/>
                <w:sz w:val="28"/>
                <w:szCs w:val="28"/>
                <w:vertAlign w:val="baseline"/>
                <w:lang w:val="en-US" w:eastAsia="zh-CN"/>
              </w:rPr>
              <w:t>单元号</w:t>
            </w:r>
          </w:p>
        </w:tc>
        <w:tc>
          <w:tcPr>
            <w:tcW w:w="2595"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_GB2312"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建筑面积约（</w:t>
            </w:r>
            <w:r>
              <w:rPr>
                <w:rFonts w:hint="eastAsia" w:ascii="仿宋_GB2312" w:eastAsia="仿宋_GB2312"/>
                <w:b/>
                <w:bCs w:val="0"/>
                <w:color w:val="auto"/>
                <w:sz w:val="28"/>
                <w:szCs w:val="28"/>
              </w:rPr>
              <w:t>㎡</w:t>
            </w:r>
            <w:r>
              <w:rPr>
                <w:rFonts w:hint="eastAsia" w:ascii="仿宋_GB2312" w:eastAsia="仿宋_GB2312"/>
                <w:b/>
                <w:bCs w:val="0"/>
                <w:color w:val="auto"/>
                <w:sz w:val="28"/>
                <w:szCs w:val="28"/>
                <w:lang w:eastAsia="zh-CN"/>
              </w:rPr>
              <w:t>）</w:t>
            </w:r>
          </w:p>
        </w:tc>
        <w:tc>
          <w:tcPr>
            <w:tcW w:w="2683"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_GB2312"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参考单价（元/</w:t>
            </w:r>
            <w:r>
              <w:rPr>
                <w:rFonts w:hint="eastAsia" w:ascii="仿宋_GB2312" w:eastAsia="仿宋_GB2312"/>
                <w:b/>
                <w:bCs w:val="0"/>
                <w:color w:val="auto"/>
                <w:sz w:val="28"/>
                <w:szCs w:val="28"/>
              </w:rPr>
              <w:t>㎡</w:t>
            </w:r>
            <w:r>
              <w:rPr>
                <w:rFonts w:hint="eastAsia" w:ascii="仿宋_GB2312" w:eastAsia="仿宋_GB2312"/>
                <w:b/>
                <w:bCs w:val="0"/>
                <w:color w:val="auto"/>
                <w:sz w:val="28"/>
                <w:szCs w:val="28"/>
                <w:lang w:eastAsia="zh-CN"/>
              </w:rPr>
              <w:t>）</w:t>
            </w:r>
          </w:p>
        </w:tc>
        <w:tc>
          <w:tcPr>
            <w:tcW w:w="2316"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参考总价（元）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2208</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398593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2209</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398593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10</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2210</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398593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11</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2211</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398593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12</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2212</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45.74</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8826.24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403712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13</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2213</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70.99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9466.14</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14</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2214</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46.7</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9194.00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15</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2215</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47.15</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9194.00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433497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16</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2216</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47.15</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9194.00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433497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17</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2217</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47.15</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9194.00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433497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18</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2218</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46.7</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9194.00</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19</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2219</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70.99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9830.22</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697847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2220</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45.74</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428944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21</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2221</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423505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2222</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423505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23</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2223</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423505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24</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2224</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45.16</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423505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25</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2225</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45.74</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9377.88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428944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26</w:t>
            </w:r>
          </w:p>
        </w:tc>
        <w:tc>
          <w:tcPr>
            <w:tcW w:w="173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2226</w:t>
            </w:r>
          </w:p>
        </w:tc>
        <w:tc>
          <w:tcPr>
            <w:tcW w:w="2595"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70.99</w:t>
            </w:r>
          </w:p>
        </w:tc>
        <w:tc>
          <w:tcPr>
            <w:tcW w:w="2683"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9648.18</w:t>
            </w:r>
          </w:p>
        </w:tc>
        <w:tc>
          <w:tcPr>
            <w:tcW w:w="2316"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684924</w:t>
            </w:r>
          </w:p>
        </w:tc>
      </w:tr>
    </w:tbl>
    <w:p>
      <w:pPr>
        <w:pStyle w:val="11"/>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val="0"/>
          <w:bCs/>
          <w:sz w:val="30"/>
          <w:szCs w:val="30"/>
          <w:lang w:val="en-US" w:eastAsia="zh-CN"/>
        </w:rPr>
      </w:pPr>
      <w:r>
        <w:rPr>
          <w:rFonts w:hint="eastAsia" w:ascii="仿宋" w:hAnsi="仿宋" w:eastAsia="仿宋"/>
          <w:b w:val="0"/>
          <w:bCs/>
          <w:sz w:val="30"/>
          <w:szCs w:val="30"/>
          <w:lang w:val="en-US" w:eastAsia="zh-CN"/>
        </w:rPr>
        <w:t>地下负2层车位：（本表仅供参考，实际以产权证上标注为准）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2810"/>
        <w:gridCol w:w="3127"/>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序号</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车位号</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车位建筑面积约（㎡）</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b/>
                <w:bCs w:val="0"/>
                <w:sz w:val="28"/>
                <w:szCs w:val="28"/>
                <w:vertAlign w:val="baseline"/>
                <w:lang w:val="en-US" w:eastAsia="zh-CN"/>
              </w:rPr>
            </w:pPr>
            <w:r>
              <w:rPr>
                <w:rFonts w:hint="eastAsia" w:ascii="仿宋" w:hAnsi="仿宋" w:eastAsia="仿宋"/>
                <w:b/>
                <w:bCs w:val="0"/>
                <w:sz w:val="28"/>
                <w:szCs w:val="28"/>
                <w:vertAlign w:val="baseline"/>
                <w:lang w:val="en-US" w:eastAsia="zh-CN"/>
              </w:rPr>
              <w:t>参考价（元/泊位）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2055</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2056</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2057</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4</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2058</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2059</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6</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2060</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7</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2061</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2066</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9</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2067</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10</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2070</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11</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2071</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序号</w:t>
            </w:r>
          </w:p>
        </w:tc>
        <w:tc>
          <w:tcPr>
            <w:tcW w:w="2810"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车位号</w:t>
            </w:r>
          </w:p>
        </w:tc>
        <w:tc>
          <w:tcPr>
            <w:tcW w:w="3127"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车位建筑面积约（㎡）</w:t>
            </w:r>
          </w:p>
        </w:tc>
        <w:tc>
          <w:tcPr>
            <w:tcW w:w="3404" w:type="dxa"/>
            <w:vAlign w:val="top"/>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rPr>
                <w:rFonts w:hint="default" w:ascii="仿宋" w:hAnsi="仿宋" w:eastAsia="仿宋" w:cs="Times New Roman"/>
                <w:b/>
                <w:bCs w:val="0"/>
                <w:color w:val="auto"/>
                <w:kern w:val="2"/>
                <w:sz w:val="28"/>
                <w:szCs w:val="28"/>
                <w:vertAlign w:val="baseline"/>
                <w:lang w:val="en-US" w:eastAsia="zh-CN" w:bidi="ar-SA"/>
              </w:rPr>
            </w:pPr>
            <w:r>
              <w:rPr>
                <w:rFonts w:hint="eastAsia" w:ascii="仿宋" w:hAnsi="仿宋" w:eastAsia="仿宋"/>
                <w:b/>
                <w:bCs w:val="0"/>
                <w:sz w:val="28"/>
                <w:szCs w:val="28"/>
                <w:vertAlign w:val="baseline"/>
                <w:lang w:val="en-US" w:eastAsia="zh-CN"/>
              </w:rPr>
              <w:t>参考单价（元/泊位）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12</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2072</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13</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2073</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14</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2074</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87883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15</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2075</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16</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2076</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17</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2077</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18</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2078</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53587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1"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19</w:t>
            </w:r>
          </w:p>
        </w:tc>
        <w:tc>
          <w:tcPr>
            <w:tcW w:w="2810"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2079</w:t>
            </w:r>
          </w:p>
        </w:tc>
        <w:tc>
          <w:tcPr>
            <w:tcW w:w="3127"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33.66</w:t>
            </w:r>
          </w:p>
        </w:tc>
        <w:tc>
          <w:tcPr>
            <w:tcW w:w="3404" w:type="dxa"/>
          </w:tcPr>
          <w:p>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60" w:lineRule="exact"/>
              <w:ind w:left="0" w:right="0" w:rightChars="0"/>
              <w:jc w:val="center"/>
              <w:textAlignment w:val="auto"/>
              <w:rPr>
                <w:rFonts w:hint="default" w:ascii="仿宋" w:hAnsi="仿宋" w:eastAsia="仿宋"/>
                <w:b w:val="0"/>
                <w:bCs/>
                <w:sz w:val="30"/>
                <w:szCs w:val="30"/>
                <w:vertAlign w:val="baseline"/>
                <w:lang w:val="en-US" w:eastAsia="zh-CN"/>
              </w:rPr>
            </w:pPr>
            <w:r>
              <w:rPr>
                <w:rFonts w:hint="eastAsia" w:ascii="仿宋" w:hAnsi="仿宋" w:eastAsia="仿宋"/>
                <w:b w:val="0"/>
                <w:bCs/>
                <w:sz w:val="30"/>
                <w:szCs w:val="30"/>
                <w:vertAlign w:val="baseline"/>
                <w:lang w:val="en-US" w:eastAsia="zh-CN"/>
              </w:rPr>
              <w:t>87883</w:t>
            </w:r>
          </w:p>
        </w:tc>
      </w:tr>
    </w:tbl>
    <w:p>
      <w:pPr>
        <w:pStyle w:val="11"/>
        <w:keepNext w:val="0"/>
        <w:keepLines w:val="0"/>
        <w:pageBreakBefore w:val="0"/>
        <w:widowControl w:val="0"/>
        <w:numPr>
          <w:ilvl w:val="0"/>
          <w:numId w:val="3"/>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bCs w:val="0"/>
          <w:sz w:val="30"/>
          <w:szCs w:val="30"/>
          <w:lang w:val="en-US" w:eastAsia="zh-CN"/>
        </w:rPr>
      </w:pPr>
      <w:r>
        <w:rPr>
          <w:rFonts w:hint="eastAsia" w:ascii="仿宋" w:hAnsi="仿宋" w:eastAsia="仿宋"/>
          <w:b/>
          <w:bCs w:val="0"/>
          <w:sz w:val="30"/>
          <w:szCs w:val="30"/>
          <w:lang w:val="en-US" w:eastAsia="zh-CN"/>
        </w:rPr>
        <w:t>标的展示图：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仿宋" w:hAnsi="仿宋" w:eastAsia="仿宋"/>
          <w:b/>
          <w:bCs w:val="0"/>
          <w:sz w:val="30"/>
          <w:szCs w:val="30"/>
          <w:lang w:val="en-US" w:eastAsia="zh-CN"/>
        </w:rPr>
      </w:pPr>
      <w:r>
        <w:rPr>
          <w:rFonts w:hint="default" w:ascii="仿宋" w:hAnsi="仿宋" w:eastAsia="仿宋"/>
          <w:b/>
          <w:bCs w:val="0"/>
          <w:sz w:val="30"/>
          <w:szCs w:val="30"/>
          <w:lang w:val="en-US" w:eastAsia="zh-CN"/>
        </w:rPr>
        <w:drawing>
          <wp:inline distT="0" distB="0" distL="114300" distR="114300">
            <wp:extent cx="6640830" cy="6496050"/>
            <wp:effectExtent l="0" t="0" r="1270" b="6350"/>
            <wp:docPr id="4" name="图片 4" descr="73e5f9cb6280e7a60f0ea037ebf9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3e5f9cb6280e7a60f0ea037ebf995b"/>
                    <pic:cNvPicPr>
                      <a:picLocks noChangeAspect="1"/>
                    </pic:cNvPicPr>
                  </pic:nvPicPr>
                  <pic:blipFill>
                    <a:blip r:embed="rId4"/>
                    <a:stretch>
                      <a:fillRect/>
                    </a:stretch>
                  </pic:blipFill>
                  <pic:spPr>
                    <a:xfrm>
                      <a:off x="0" y="0"/>
                      <a:ext cx="6640830" cy="6496050"/>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center"/>
        <w:textAlignment w:val="auto"/>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t>双子星大厦外观图（房产标的为顶楼）</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仿宋" w:hAnsi="仿宋" w:eastAsia="仿宋"/>
          <w:b/>
          <w:bCs w:val="0"/>
          <w:sz w:val="24"/>
          <w:szCs w:val="24"/>
          <w:lang w:val="en-US" w:eastAsia="zh-CN"/>
        </w:rPr>
      </w:pPr>
      <w:r>
        <w:rPr>
          <w:rFonts w:hint="default" w:ascii="仿宋" w:hAnsi="仿宋" w:eastAsia="仿宋"/>
          <w:b/>
          <w:bCs w:val="0"/>
          <w:sz w:val="24"/>
          <w:szCs w:val="24"/>
          <w:lang w:val="en-US" w:eastAsia="zh-CN"/>
        </w:rPr>
        <w:drawing>
          <wp:inline distT="0" distB="0" distL="114300" distR="114300">
            <wp:extent cx="6640830" cy="4543425"/>
            <wp:effectExtent l="0" t="0" r="1270" b="3175"/>
            <wp:docPr id="5" name="图片 5" descr="663fed13f896c3d7eca01d73ffff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3fed13f896c3d7eca01d73ffff07d"/>
                    <pic:cNvPicPr>
                      <a:picLocks noChangeAspect="1"/>
                    </pic:cNvPicPr>
                  </pic:nvPicPr>
                  <pic:blipFill>
                    <a:blip r:embed="rId5"/>
                    <a:stretch>
                      <a:fillRect/>
                    </a:stretch>
                  </pic:blipFill>
                  <pic:spPr>
                    <a:xfrm>
                      <a:off x="0" y="0"/>
                      <a:ext cx="6640830" cy="4543425"/>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center"/>
        <w:textAlignment w:val="auto"/>
        <w:rPr>
          <w:rFonts w:hint="default" w:ascii="仿宋" w:hAnsi="仿宋" w:eastAsia="仿宋"/>
          <w:b/>
          <w:bCs w:val="0"/>
          <w:sz w:val="24"/>
          <w:szCs w:val="24"/>
          <w:lang w:val="en-US" w:eastAsia="zh-CN"/>
        </w:rPr>
      </w:pPr>
      <w:r>
        <w:rPr>
          <w:rFonts w:hint="eastAsia" w:ascii="仿宋" w:hAnsi="仿宋" w:eastAsia="仿宋"/>
          <w:b/>
          <w:bCs w:val="0"/>
          <w:sz w:val="24"/>
          <w:szCs w:val="24"/>
          <w:lang w:val="en-US" w:eastAsia="zh-CN"/>
        </w:rPr>
        <w:t>第22层商业用房内部结构图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b/>
          <w:bCs w:val="0"/>
          <w:sz w:val="30"/>
          <w:szCs w:val="30"/>
          <w:lang w:val="en-US" w:eastAsia="zh-CN"/>
        </w:rPr>
      </w:pPr>
      <w:r>
        <w:rPr>
          <w:rFonts w:hint="eastAsia" w:ascii="仿宋" w:hAnsi="仿宋" w:eastAsia="仿宋"/>
          <w:b/>
          <w:bCs w:val="0"/>
          <w:sz w:val="30"/>
          <w:szCs w:val="30"/>
          <w:lang w:val="en-US" w:eastAsia="zh-CN"/>
        </w:rPr>
        <w:drawing>
          <wp:inline distT="0" distB="0" distL="114300" distR="114300">
            <wp:extent cx="6644005" cy="5028565"/>
            <wp:effectExtent l="0" t="0" r="10795" b="635"/>
            <wp:docPr id="6" name="图片 6" descr="cb0d5e4cf9610d27a61214310902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b0d5e4cf9610d27a6121431090285c"/>
                    <pic:cNvPicPr>
                      <a:picLocks noChangeAspect="1"/>
                    </pic:cNvPicPr>
                  </pic:nvPicPr>
                  <pic:blipFill>
                    <a:blip r:embed="rId6"/>
                    <a:stretch>
                      <a:fillRect/>
                    </a:stretch>
                  </pic:blipFill>
                  <pic:spPr>
                    <a:xfrm>
                      <a:off x="0" y="0"/>
                      <a:ext cx="6644005" cy="5028565"/>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drawing>
          <wp:inline distT="0" distB="0" distL="114300" distR="114300">
            <wp:extent cx="6644005" cy="4972050"/>
            <wp:effectExtent l="0" t="0" r="10795" b="6350"/>
            <wp:docPr id="8" name="图片 8" descr="17482fe79260f20555250af2a27a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82fe79260f20555250af2a27a898"/>
                    <pic:cNvPicPr>
                      <a:picLocks noChangeAspect="1"/>
                    </pic:cNvPicPr>
                  </pic:nvPicPr>
                  <pic:blipFill>
                    <a:blip r:embed="rId7"/>
                    <a:stretch>
                      <a:fillRect/>
                    </a:stretch>
                  </pic:blipFill>
                  <pic:spPr>
                    <a:xfrm>
                      <a:off x="0" y="0"/>
                      <a:ext cx="6644005" cy="4972050"/>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drawing>
          <wp:inline distT="0" distB="0" distL="114300" distR="114300">
            <wp:extent cx="6644005" cy="4231640"/>
            <wp:effectExtent l="0" t="0" r="10795" b="10160"/>
            <wp:docPr id="9" name="图片 9" descr="17abe967b5a2cf42b9e0c74c26fe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abe967b5a2cf42b9e0c74c26fecb7"/>
                    <pic:cNvPicPr>
                      <a:picLocks noChangeAspect="1"/>
                    </pic:cNvPicPr>
                  </pic:nvPicPr>
                  <pic:blipFill>
                    <a:blip r:embed="rId8"/>
                    <a:stretch>
                      <a:fillRect/>
                    </a:stretch>
                  </pic:blipFill>
                  <pic:spPr>
                    <a:xfrm>
                      <a:off x="0" y="0"/>
                      <a:ext cx="6644005" cy="4231640"/>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center"/>
        <w:textAlignment w:val="auto"/>
        <w:rPr>
          <w:rFonts w:hint="eastAsia" w:ascii="仿宋" w:hAnsi="仿宋" w:eastAsia="仿宋"/>
          <w:b/>
          <w:bCs w:val="0"/>
          <w:sz w:val="24"/>
          <w:szCs w:val="24"/>
          <w:lang w:val="en-US" w:eastAsia="zh-CN"/>
        </w:rPr>
      </w:pPr>
      <w:r>
        <w:rPr>
          <w:rFonts w:hint="eastAsia" w:ascii="仿宋" w:hAnsi="仿宋" w:eastAsia="仿宋"/>
          <w:b/>
          <w:bCs w:val="0"/>
          <w:sz w:val="24"/>
          <w:szCs w:val="24"/>
          <w:lang w:val="en-US" w:eastAsia="zh-CN"/>
        </w:rPr>
        <w:t>第22层商业用房户型图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仿宋" w:hAnsi="仿宋" w:eastAsia="仿宋"/>
          <w:b/>
          <w:bCs w:val="0"/>
          <w:sz w:val="24"/>
          <w:szCs w:val="24"/>
          <w:lang w:val="en-US" w:eastAsia="zh-CN"/>
        </w:rPr>
      </w:pPr>
      <w:r>
        <w:rPr>
          <w:rFonts w:hint="default" w:ascii="仿宋" w:hAnsi="仿宋" w:eastAsia="仿宋"/>
          <w:b/>
          <w:bCs w:val="0"/>
          <w:sz w:val="24"/>
          <w:szCs w:val="24"/>
          <w:lang w:val="en-US" w:eastAsia="zh-CN"/>
        </w:rPr>
        <w:drawing>
          <wp:inline distT="0" distB="0" distL="114300" distR="114300">
            <wp:extent cx="6644640" cy="4373245"/>
            <wp:effectExtent l="0" t="0" r="10160" b="8255"/>
            <wp:docPr id="2" name="图片 2" descr="8cd666d4000983fe19483da28f8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cd666d4000983fe19483da28f83422"/>
                    <pic:cNvPicPr>
                      <a:picLocks noChangeAspect="1"/>
                    </pic:cNvPicPr>
                  </pic:nvPicPr>
                  <pic:blipFill>
                    <a:blip r:embed="rId9"/>
                    <a:stretch>
                      <a:fillRect/>
                    </a:stretch>
                  </pic:blipFill>
                  <pic:spPr>
                    <a:xfrm>
                      <a:off x="0" y="0"/>
                      <a:ext cx="6644640" cy="4373245"/>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ascii="仿宋" w:hAnsi="仿宋" w:eastAsia="仿宋"/>
          <w:b/>
          <w:bCs w:val="0"/>
          <w:sz w:val="24"/>
          <w:szCs w:val="24"/>
          <w:lang w:val="en-US" w:eastAsia="zh-CN"/>
        </w:rPr>
      </w:pPr>
      <w:r>
        <w:rPr>
          <w:rFonts w:hint="eastAsia" w:ascii="仿宋" w:hAnsi="仿宋" w:eastAsia="仿宋"/>
          <w:b/>
          <w:bCs w:val="0"/>
          <w:sz w:val="24"/>
          <w:szCs w:val="24"/>
          <w:lang w:val="en-US" w:eastAsia="zh-CN"/>
        </w:rPr>
        <w:t>地下负2层停车位</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仿宋" w:hAnsi="仿宋" w:eastAsia="仿宋"/>
          <w:b/>
          <w:bCs w:val="0"/>
          <w:sz w:val="24"/>
          <w:szCs w:val="24"/>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default" w:ascii="仿宋" w:hAnsi="仿宋" w:eastAsia="仿宋"/>
          <w:b/>
          <w:bCs w:val="0"/>
          <w:sz w:val="24"/>
          <w:szCs w:val="24"/>
          <w:lang w:val="en-US" w:eastAsia="zh-CN"/>
        </w:rPr>
      </w:pPr>
      <w:r>
        <w:rPr>
          <w:rFonts w:hint="default" w:ascii="仿宋" w:hAnsi="仿宋" w:eastAsia="仿宋"/>
          <w:b/>
          <w:bCs w:val="0"/>
          <w:sz w:val="24"/>
          <w:szCs w:val="24"/>
          <w:lang w:val="en-US" w:eastAsia="zh-CN"/>
        </w:rPr>
        <w:drawing>
          <wp:inline distT="0" distB="0" distL="114300" distR="114300">
            <wp:extent cx="6645275" cy="4284980"/>
            <wp:effectExtent l="0" t="0" r="9525" b="7620"/>
            <wp:docPr id="1" name="图片 1" descr="f161f86ee9397f1a1b6e8bf76f73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61f86ee9397f1a1b6e8bf76f7378b"/>
                    <pic:cNvPicPr>
                      <a:picLocks noChangeAspect="1"/>
                    </pic:cNvPicPr>
                  </pic:nvPicPr>
                  <pic:blipFill>
                    <a:blip r:embed="rId10"/>
                    <a:stretch>
                      <a:fillRect/>
                    </a:stretch>
                  </pic:blipFill>
                  <pic:spPr>
                    <a:xfrm>
                      <a:off x="0" y="0"/>
                      <a:ext cx="6645275" cy="4284980"/>
                    </a:xfrm>
                    <a:prstGeom prst="rect">
                      <a:avLst/>
                    </a:prstGeom>
                  </pic:spPr>
                </pic:pic>
              </a:graphicData>
            </a:graphic>
          </wp:inline>
        </w:drawing>
      </w:r>
    </w:p>
    <w:p>
      <w:pPr>
        <w:pStyle w:val="11"/>
        <w:bidi w:val="0"/>
        <w:jc w:val="center"/>
        <w:rPr>
          <w:rFonts w:hint="eastAsia" w:ascii="仿宋" w:hAnsi="仿宋" w:eastAsia="仿宋" w:cs="仿宋"/>
          <w:b/>
          <w:bCs w:val="0"/>
          <w:sz w:val="22"/>
          <w:szCs w:val="28"/>
          <w:lang w:val="en-US" w:eastAsia="zh-CN"/>
        </w:rPr>
      </w:pPr>
      <w:r>
        <w:rPr>
          <w:rFonts w:hint="eastAsia" w:ascii="仿宋" w:hAnsi="仿宋" w:eastAsia="仿宋" w:cs="仿宋"/>
          <w:b/>
          <w:bCs w:val="0"/>
          <w:sz w:val="22"/>
          <w:szCs w:val="28"/>
          <w:lang w:val="en-US" w:eastAsia="zh-CN"/>
        </w:rPr>
        <w:t>标的地理位置图</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bCs w:val="0"/>
          <w:sz w:val="30"/>
          <w:szCs w:val="30"/>
          <w:lang w:val="en-US" w:eastAsia="zh-CN"/>
        </w:rPr>
      </w:pP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jc w:val="left"/>
        <w:textAlignment w:val="auto"/>
        <w:rPr>
          <w:rFonts w:hint="eastAsia" w:ascii="仿宋" w:hAnsi="仿宋" w:eastAsia="仿宋"/>
          <w:b/>
          <w:bCs w:val="0"/>
          <w:sz w:val="30"/>
          <w:szCs w:val="30"/>
          <w:lang w:val="en-US" w:eastAsia="zh-CN"/>
        </w:rPr>
      </w:pPr>
      <w:r>
        <w:rPr>
          <w:rFonts w:hint="eastAsia" w:ascii="仿宋" w:hAnsi="仿宋" w:eastAsia="仿宋"/>
          <w:b/>
          <w:bCs w:val="0"/>
          <w:sz w:val="30"/>
          <w:szCs w:val="30"/>
          <w:lang w:val="en-US" w:eastAsia="zh-CN"/>
        </w:rPr>
        <w:t>五、福建省海峡拍卖行有限公司联系方式</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b w:val="0"/>
          <w:bCs/>
          <w:sz w:val="30"/>
          <w:szCs w:val="30"/>
          <w:lang w:val="en-US" w:eastAsia="zh-CN"/>
        </w:rPr>
      </w:pPr>
      <w:r>
        <w:rPr>
          <w:rFonts w:hint="eastAsia" w:ascii="仿宋" w:hAnsi="仿宋" w:eastAsia="仿宋"/>
          <w:b w:val="0"/>
          <w:bCs/>
          <w:sz w:val="30"/>
          <w:szCs w:val="30"/>
          <w:lang w:val="en-US" w:eastAsia="zh-CN"/>
        </w:rPr>
        <w:t xml:space="preserve">★联系电话：18650065557、13600819581  </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b w:val="0"/>
          <w:bCs/>
          <w:sz w:val="30"/>
          <w:szCs w:val="30"/>
          <w:lang w:val="en-US" w:eastAsia="zh-CN"/>
        </w:rPr>
      </w:pPr>
      <w:r>
        <w:rPr>
          <w:rFonts w:hint="eastAsia" w:ascii="仿宋" w:hAnsi="仿宋" w:eastAsia="仿宋"/>
          <w:b w:val="0"/>
          <w:bCs/>
          <w:sz w:val="30"/>
          <w:szCs w:val="30"/>
          <w:lang w:val="en-US" w:eastAsia="zh-CN"/>
        </w:rPr>
        <w:t>★联系人：白女士、陈先生</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exact"/>
        <w:ind w:right="0" w:rightChars="0" w:firstLine="600" w:firstLineChars="200"/>
        <w:jc w:val="left"/>
        <w:textAlignment w:val="auto"/>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★以上信息仅供参考，具体以该项目租赁权拍卖情况说明约定为准！</w:t>
      </w:r>
    </w:p>
    <w:p>
      <w:pPr>
        <w:pStyle w:val="11"/>
        <w:keepNext w:val="0"/>
        <w:keepLines w:val="0"/>
        <w:pageBreakBefore w:val="0"/>
        <w:widowControl w:val="0"/>
        <w:overflowPunct/>
        <w:bidi w:val="0"/>
        <w:snapToGrid/>
        <w:spacing w:line="400" w:lineRule="exact"/>
        <w:ind w:right="0"/>
        <w:jc w:val="left"/>
        <w:textAlignment w:val="auto"/>
        <w:rPr>
          <w:rFonts w:hint="eastAsia" w:ascii="仿宋" w:hAnsi="仿宋" w:eastAsia="仿宋"/>
          <w:b w:val="0"/>
          <w:bCs/>
          <w:sz w:val="28"/>
          <w:szCs w:val="32"/>
          <w:lang w:val="en-US" w:eastAsia="zh-CN"/>
        </w:rPr>
      </w:pPr>
    </w:p>
    <w:p>
      <w:pPr>
        <w:pStyle w:val="11"/>
        <w:bidi w:val="0"/>
        <w:jc w:val="both"/>
        <w:rPr>
          <w:rFonts w:ascii="仿宋" w:hAnsi="仿宋" w:eastAsia="仿宋"/>
          <w:b w:val="0"/>
          <w:bCs/>
          <w:sz w:val="24"/>
          <w:szCs w:val="28"/>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left"/>
        <w:rPr>
          <w:rFonts w:hint="eastAsia" w:ascii="仿宋" w:hAnsi="仿宋" w:eastAsia="仿宋"/>
          <w:b w:val="0"/>
          <w:bCs/>
          <w:sz w:val="28"/>
          <w:szCs w:val="32"/>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both"/>
        <w:rPr>
          <w:rFonts w:hint="eastAsia" w:ascii="仿宋" w:hAnsi="仿宋" w:eastAsia="仿宋" w:cs="仿宋"/>
          <w:b/>
          <w:bCs w:val="0"/>
          <w:sz w:val="22"/>
          <w:szCs w:val="28"/>
          <w:lang w:val="en-US" w:eastAsia="zh-CN"/>
        </w:rPr>
      </w:pPr>
    </w:p>
    <w:p>
      <w:pPr>
        <w:pStyle w:val="11"/>
        <w:bidi w:val="0"/>
        <w:ind w:firstLine="1546" w:firstLineChars="700"/>
        <w:jc w:val="both"/>
        <w:rPr>
          <w:rFonts w:hint="eastAsia" w:ascii="仿宋" w:hAnsi="仿宋" w:eastAsia="仿宋" w:cs="仿宋"/>
          <w:b/>
          <w:bCs w:val="0"/>
          <w:sz w:val="22"/>
          <w:szCs w:val="28"/>
          <w:lang w:val="en-US" w:eastAsia="zh-CN"/>
        </w:rPr>
      </w:pPr>
    </w:p>
    <w:p>
      <w:pPr>
        <w:pStyle w:val="11"/>
        <w:bidi w:val="0"/>
        <w:jc w:val="left"/>
        <w:rPr>
          <w:rFonts w:ascii="仿宋" w:hAnsi="仿宋" w:eastAsia="仿宋"/>
          <w:b/>
          <w:bCs w:val="0"/>
          <w:sz w:val="22"/>
          <w:szCs w:val="24"/>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left"/>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ascii="仿宋" w:hAnsi="仿宋" w:eastAsia="仿宋" w:cs="仿宋"/>
          <w:b/>
          <w:bCs w:val="0"/>
          <w:sz w:val="22"/>
          <w:szCs w:val="28"/>
          <w:lang w:val="en-US" w:eastAsia="zh-CN"/>
        </w:rPr>
      </w:pPr>
    </w:p>
    <w:p>
      <w:pPr>
        <w:pStyle w:val="11"/>
        <w:bidi w:val="0"/>
        <w:jc w:val="center"/>
        <w:rPr>
          <w:rFonts w:hint="eastAsia" w:ascii="仿宋" w:hAnsi="仿宋" w:eastAsia="仿宋" w:cs="仿宋"/>
          <w:b/>
          <w:bCs w:val="0"/>
          <w:sz w:val="22"/>
          <w:szCs w:val="28"/>
          <w:lang w:val="en-US" w:eastAsia="zh-CN"/>
        </w:rPr>
      </w:pPr>
      <w:r>
        <w:rPr>
          <w:rFonts w:hint="eastAsia" w:ascii="仿宋" w:hAnsi="仿宋" w:eastAsia="仿宋" w:cs="仿宋"/>
          <w:b/>
          <w:bCs w:val="0"/>
          <w:sz w:val="22"/>
          <w:szCs w:val="28"/>
          <w:lang w:val="en-US" w:eastAsia="zh-CN"/>
        </w:rPr>
        <w:t>标的地理位置图</w:t>
      </w:r>
    </w:p>
    <w:p>
      <w:pPr>
        <w:pStyle w:val="11"/>
        <w:bidi w:val="0"/>
        <w:jc w:val="both"/>
        <w:rPr>
          <w:rFonts w:hint="eastAsia" w:ascii="仿宋" w:hAnsi="仿宋" w:eastAsia="仿宋" w:cs="仿宋"/>
          <w:b/>
          <w:bCs w:val="0"/>
          <w:sz w:val="22"/>
          <w:szCs w:val="28"/>
          <w:lang w:val="en-US" w:eastAsia="zh-CN"/>
        </w:rPr>
      </w:pPr>
    </w:p>
    <w:p>
      <w:pPr>
        <w:pStyle w:val="2"/>
        <w:rPr>
          <w:lang w:val="en-US" w:eastAsia="zh-CN"/>
        </w:rPr>
      </w:pPr>
    </w:p>
    <w:sectPr>
      <w:pgSz w:w="11906" w:h="16838"/>
      <w:pgMar w:top="567" w:right="720" w:bottom="567" w:left="720" w:header="0" w:footer="0" w:gutter="0"/>
      <w:pgNumType w:fmt="decimal"/>
      <w:cols w:space="720" w:num="1"/>
      <w:formProt w:val="0"/>
      <w:docGrid w:type="lines" w:linePitch="312" w:charSpace="430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25BFDD"/>
    <w:multiLevelType w:val="singleLevel"/>
    <w:tmpl w:val="9D25BFDD"/>
    <w:lvl w:ilvl="0" w:tentative="0">
      <w:start w:val="1"/>
      <w:numFmt w:val="chineseCounting"/>
      <w:suff w:val="nothing"/>
      <w:lvlText w:val="%1、"/>
      <w:lvlJc w:val="left"/>
      <w:rPr>
        <w:rFonts w:hint="eastAsia"/>
      </w:rPr>
    </w:lvl>
  </w:abstractNum>
  <w:abstractNum w:abstractNumId="1">
    <w:nsid w:val="D1691581"/>
    <w:multiLevelType w:val="singleLevel"/>
    <w:tmpl w:val="D1691581"/>
    <w:lvl w:ilvl="0" w:tentative="0">
      <w:start w:val="4"/>
      <w:numFmt w:val="chineseCounting"/>
      <w:suff w:val="nothing"/>
      <w:lvlText w:val="%1、"/>
      <w:lvlJc w:val="left"/>
      <w:rPr>
        <w:rFonts w:hint="eastAsia"/>
      </w:rPr>
    </w:lvl>
  </w:abstractNum>
  <w:abstractNum w:abstractNumId="2">
    <w:nsid w:val="D1E2DF7B"/>
    <w:multiLevelType w:val="singleLevel"/>
    <w:tmpl w:val="D1E2DF7B"/>
    <w:lvl w:ilvl="0" w:tentative="0">
      <w:start w:val="2"/>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79"/>
  <w:embedSystemFonts/>
  <w:bordersDoNotSurroundHeader w:val="1"/>
  <w:bordersDoNotSurroundFooter w:val="1"/>
  <w:documentProtection w:enforcement="0"/>
  <w:defaultTabStop w:val="420"/>
  <w:autoHyphenation/>
  <w:displayHorizontalDrawingGridEvery w:val="0"/>
  <w:displayVerticalDrawingGridEvery w:val="2"/>
  <w:compat>
    <w:balanceSingleByteDoubleByteWidth/>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0000000"/>
    <w:rsid w:val="023666C9"/>
    <w:rsid w:val="04085873"/>
    <w:rsid w:val="04190A12"/>
    <w:rsid w:val="06A010FB"/>
    <w:rsid w:val="06E17374"/>
    <w:rsid w:val="07031B8C"/>
    <w:rsid w:val="081A5E11"/>
    <w:rsid w:val="08D86FE4"/>
    <w:rsid w:val="0A954836"/>
    <w:rsid w:val="0B337C55"/>
    <w:rsid w:val="0BBB098D"/>
    <w:rsid w:val="0CBF7FCB"/>
    <w:rsid w:val="0EE67D4B"/>
    <w:rsid w:val="10AF0487"/>
    <w:rsid w:val="13C25C6A"/>
    <w:rsid w:val="14300AD2"/>
    <w:rsid w:val="146C6B80"/>
    <w:rsid w:val="146F1781"/>
    <w:rsid w:val="15495E5C"/>
    <w:rsid w:val="15D9733E"/>
    <w:rsid w:val="16821EB3"/>
    <w:rsid w:val="171552C4"/>
    <w:rsid w:val="18C46EBA"/>
    <w:rsid w:val="19520ECD"/>
    <w:rsid w:val="1A5B59C4"/>
    <w:rsid w:val="1A9D63E8"/>
    <w:rsid w:val="1AD165DF"/>
    <w:rsid w:val="1B2121F3"/>
    <w:rsid w:val="1B350690"/>
    <w:rsid w:val="1C48174B"/>
    <w:rsid w:val="1C7804CB"/>
    <w:rsid w:val="1ECB7811"/>
    <w:rsid w:val="1FAA6C51"/>
    <w:rsid w:val="201711BC"/>
    <w:rsid w:val="20EE3678"/>
    <w:rsid w:val="22DD3BC0"/>
    <w:rsid w:val="22E851D9"/>
    <w:rsid w:val="25DD6518"/>
    <w:rsid w:val="2612378D"/>
    <w:rsid w:val="26C73D33"/>
    <w:rsid w:val="28A32764"/>
    <w:rsid w:val="28CC107A"/>
    <w:rsid w:val="29BA431B"/>
    <w:rsid w:val="2A9018C8"/>
    <w:rsid w:val="2A9114C3"/>
    <w:rsid w:val="2ABD0C73"/>
    <w:rsid w:val="2AC9703F"/>
    <w:rsid w:val="2D213B9B"/>
    <w:rsid w:val="2DA53D68"/>
    <w:rsid w:val="2DA62BFC"/>
    <w:rsid w:val="2E7F237F"/>
    <w:rsid w:val="2F7316BF"/>
    <w:rsid w:val="2F9222CD"/>
    <w:rsid w:val="2FF70D20"/>
    <w:rsid w:val="307B1798"/>
    <w:rsid w:val="319E667C"/>
    <w:rsid w:val="3503742F"/>
    <w:rsid w:val="36AE7F27"/>
    <w:rsid w:val="386147C6"/>
    <w:rsid w:val="386C2908"/>
    <w:rsid w:val="396137C1"/>
    <w:rsid w:val="3C402568"/>
    <w:rsid w:val="3DD706E4"/>
    <w:rsid w:val="3E5820DE"/>
    <w:rsid w:val="428B602E"/>
    <w:rsid w:val="439E349B"/>
    <w:rsid w:val="448F5C77"/>
    <w:rsid w:val="44E765D2"/>
    <w:rsid w:val="456B7B13"/>
    <w:rsid w:val="46DE1DB1"/>
    <w:rsid w:val="47A37821"/>
    <w:rsid w:val="49880A9F"/>
    <w:rsid w:val="49CD7AE7"/>
    <w:rsid w:val="4DA67522"/>
    <w:rsid w:val="4DBE59C4"/>
    <w:rsid w:val="4DF75990"/>
    <w:rsid w:val="4E3E5151"/>
    <w:rsid w:val="50822187"/>
    <w:rsid w:val="50A415AD"/>
    <w:rsid w:val="514050DD"/>
    <w:rsid w:val="51A639E4"/>
    <w:rsid w:val="51AC4590"/>
    <w:rsid w:val="528D5DD5"/>
    <w:rsid w:val="52DE2C2C"/>
    <w:rsid w:val="534B5271"/>
    <w:rsid w:val="53C162C5"/>
    <w:rsid w:val="550F4C7E"/>
    <w:rsid w:val="551959E0"/>
    <w:rsid w:val="59CF5D50"/>
    <w:rsid w:val="5A277B4D"/>
    <w:rsid w:val="5A895237"/>
    <w:rsid w:val="5B001A93"/>
    <w:rsid w:val="5C975C1B"/>
    <w:rsid w:val="5D851115"/>
    <w:rsid w:val="5E4E2D03"/>
    <w:rsid w:val="5F3D0BC5"/>
    <w:rsid w:val="60C06BE5"/>
    <w:rsid w:val="60E82A84"/>
    <w:rsid w:val="61681A58"/>
    <w:rsid w:val="616B61A3"/>
    <w:rsid w:val="6487309C"/>
    <w:rsid w:val="65D9280C"/>
    <w:rsid w:val="665741C6"/>
    <w:rsid w:val="66E57EF9"/>
    <w:rsid w:val="6B270763"/>
    <w:rsid w:val="6CE67A6C"/>
    <w:rsid w:val="6CEB4A28"/>
    <w:rsid w:val="6D0539F5"/>
    <w:rsid w:val="6DB839EA"/>
    <w:rsid w:val="6E774191"/>
    <w:rsid w:val="71A15162"/>
    <w:rsid w:val="71C37993"/>
    <w:rsid w:val="71FF7504"/>
    <w:rsid w:val="733C6E49"/>
    <w:rsid w:val="742113AA"/>
    <w:rsid w:val="74931553"/>
    <w:rsid w:val="74D64D8A"/>
    <w:rsid w:val="7531359A"/>
    <w:rsid w:val="76656168"/>
    <w:rsid w:val="771855D2"/>
    <w:rsid w:val="7873075E"/>
    <w:rsid w:val="7ACA08B1"/>
    <w:rsid w:val="7B9C2FFD"/>
    <w:rsid w:val="7BED6798"/>
    <w:rsid w:val="7BF13286"/>
    <w:rsid w:val="7C1A0820"/>
    <w:rsid w:val="7DAE62AE"/>
    <w:rsid w:val="7F4B58E8"/>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lang w:val="en-US" w:eastAsia="zh-CN" w:bidi="hi-IN"/>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Body Text First Indent 21"/>
    <w:basedOn w:val="3"/>
    <w:qFormat/>
    <w:uiPriority w:val="0"/>
    <w:pPr>
      <w:ind w:firstLine="420"/>
    </w:pPr>
  </w:style>
  <w:style w:type="paragraph" w:customStyle="1" w:styleId="3">
    <w:name w:val="Body Text Indent1"/>
    <w:basedOn w:val="1"/>
    <w:qFormat/>
    <w:uiPriority w:val="0"/>
    <w:pPr>
      <w:spacing w:line="500" w:lineRule="exact"/>
      <w:ind w:firstLine="880" w:firstLineChars="200"/>
    </w:pPr>
    <w:rPr>
      <w:rFonts w:ascii="Times New Roman" w:hAnsi="Times New Roman" w:eastAsia="宋体" w:cs="Times New Roman"/>
      <w:sz w:val="21"/>
      <w:szCs w:val="22"/>
      <w:lang w:bidi="zh-CN"/>
    </w:rPr>
  </w:style>
  <w:style w:type="paragraph" w:styleId="4">
    <w:name w:val="Body Text"/>
    <w:basedOn w:val="1"/>
    <w:qFormat/>
    <w:uiPriority w:val="0"/>
    <w:rPr>
      <w:rFonts w:eastAsia="仿宋_GB2312"/>
      <w:sz w:val="30"/>
      <w:szCs w:val="28"/>
    </w:rPr>
  </w:style>
  <w:style w:type="paragraph" w:styleId="5">
    <w:name w:val="footer"/>
    <w:basedOn w:val="1"/>
    <w:link w:val="14"/>
    <w:qFormat/>
    <w:uiPriority w:val="0"/>
    <w:pPr>
      <w:tabs>
        <w:tab w:val="center" w:pos="4153"/>
        <w:tab w:val="right" w:pos="8306"/>
      </w:tabs>
      <w:snapToGrid w:val="0"/>
      <w:jc w:val="left"/>
    </w:pPr>
    <w:rPr>
      <w:sz w:val="18"/>
    </w:rPr>
  </w:style>
  <w:style w:type="paragraph" w:styleId="6">
    <w:name w:val="header"/>
    <w:basedOn w:val="1"/>
    <w:link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4"/>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正文1"/>
    <w:qFormat/>
    <w:uiPriority w:val="0"/>
    <w:pPr>
      <w:widowControl w:val="0"/>
      <w:suppressAutoHyphens w:val="0"/>
      <w:bidi w:val="0"/>
      <w:jc w:val="both"/>
    </w:pPr>
    <w:rPr>
      <w:rFonts w:cs="Times New Roman" w:asciiTheme="minorHAnsi" w:hAnsiTheme="minorHAnsi" w:eastAsiaTheme="minorEastAsia"/>
      <w:color w:val="auto"/>
      <w:kern w:val="2"/>
      <w:sz w:val="21"/>
      <w:szCs w:val="24"/>
      <w:lang w:val="en-US" w:eastAsia="zh-CN" w:bidi="ar-SA"/>
    </w:rPr>
  </w:style>
  <w:style w:type="character" w:customStyle="1" w:styleId="12">
    <w:name w:val="NormalCharacter"/>
    <w:qFormat/>
    <w:uiPriority w:val="0"/>
  </w:style>
  <w:style w:type="character" w:customStyle="1" w:styleId="13">
    <w:name w:val="页眉 字符"/>
    <w:basedOn w:val="10"/>
    <w:link w:val="6"/>
    <w:qFormat/>
    <w:uiPriority w:val="0"/>
    <w:rPr>
      <w:kern w:val="2"/>
      <w:sz w:val="18"/>
      <w:szCs w:val="18"/>
    </w:rPr>
  </w:style>
  <w:style w:type="character" w:customStyle="1" w:styleId="14">
    <w:name w:val="页脚 字符"/>
    <w:basedOn w:val="10"/>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852</Words>
  <Characters>983</Characters>
  <Lines>0</Lines>
  <Paragraphs>72</Paragraphs>
  <TotalTime>2</TotalTime>
  <ScaleCrop>false</ScaleCrop>
  <LinksUpToDate>false</LinksUpToDate>
  <CharactersWithSpaces>1006</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2020-08-14T07:43:00Z</dcterms:created>
  <dc:creator>Administrator</dc:creator>
  <cp:lastModifiedBy>WPS_1642736364</cp:lastModifiedBy>
  <dcterms:modified xsi:type="dcterms:W3CDTF">2022-09-16T01:01:01Z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5D15504DC90A4FB79804514448758490</vt:lpwstr>
  </property>
</Properties>
</file>